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7BE9B" w14:textId="77777777" w:rsidR="00A1032E" w:rsidRPr="009B7F09" w:rsidRDefault="00911F9A" w:rsidP="003602F3">
      <w:pPr>
        <w:spacing w:before="2000"/>
        <w:jc w:val="center"/>
        <w:rPr>
          <w:rFonts w:ascii="Calibri Light" w:hAnsi="Calibri Light" w:cs="Calibri Light"/>
        </w:rPr>
      </w:pPr>
      <w:r>
        <w:rPr>
          <w:rFonts w:ascii="Calibri Light" w:eastAsia="Calibri" w:hAnsi="Calibri Light" w:cs="Calibri Light"/>
          <w:bCs/>
          <w:noProof/>
          <w:sz w:val="22"/>
        </w:rPr>
        <w:drawing>
          <wp:anchor distT="0" distB="0" distL="114300" distR="114300" simplePos="0" relativeHeight="251659264" behindDoc="1" locked="0" layoutInCell="1" allowOverlap="1" wp14:anchorId="3CDBDCC4" wp14:editId="1B15DBD7">
            <wp:simplePos x="0" y="0"/>
            <wp:positionH relativeFrom="margin">
              <wp:posOffset>1714500</wp:posOffset>
            </wp:positionH>
            <wp:positionV relativeFrom="paragraph">
              <wp:posOffset>28575</wp:posOffset>
            </wp:positionV>
            <wp:extent cx="1838325" cy="1402215"/>
            <wp:effectExtent l="0" t="0" r="0" b="0"/>
            <wp:wrapTight wrapText="bothSides">
              <wp:wrapPolygon edited="0">
                <wp:start x="10073" y="880"/>
                <wp:lineTo x="5820" y="3815"/>
                <wp:lineTo x="4924" y="4696"/>
                <wp:lineTo x="4924" y="10859"/>
                <wp:lineTo x="672" y="15554"/>
                <wp:lineTo x="672" y="17022"/>
                <wp:lineTo x="3134" y="19957"/>
                <wp:lineTo x="4477" y="20543"/>
                <wp:lineTo x="16788" y="20543"/>
                <wp:lineTo x="17907" y="19957"/>
                <wp:lineTo x="20817" y="16728"/>
                <wp:lineTo x="20593" y="15554"/>
                <wp:lineTo x="16340" y="10859"/>
                <wp:lineTo x="16564" y="4989"/>
                <wp:lineTo x="15445" y="3815"/>
                <wp:lineTo x="11192" y="880"/>
                <wp:lineTo x="10073" y="880"/>
              </wp:wrapPolygon>
            </wp:wrapTight>
            <wp:docPr id="2103920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38325" cy="1402215"/>
                    </a:xfrm>
                    <a:prstGeom prst="rect">
                      <a:avLst/>
                    </a:prstGeom>
                    <a:noFill/>
                    <a:ln>
                      <a:noFill/>
                    </a:ln>
                  </pic:spPr>
                </pic:pic>
              </a:graphicData>
            </a:graphic>
          </wp:anchor>
        </w:drawing>
      </w:r>
    </w:p>
    <w:p w14:paraId="76A81CD8" w14:textId="77777777" w:rsidR="000440A8" w:rsidRPr="009B7F09" w:rsidRDefault="000440A8" w:rsidP="008C534D">
      <w:pPr>
        <w:spacing w:before="360" w:after="360"/>
        <w:rPr>
          <w:rFonts w:ascii="Calibri Light" w:hAnsi="Calibri Light" w:cs="Calibri Light"/>
        </w:rPr>
      </w:pPr>
    </w:p>
    <w:p w14:paraId="2A6770D3" w14:textId="77777777" w:rsidR="00A1032E" w:rsidRPr="009B7F09" w:rsidRDefault="006A7509" w:rsidP="008C534D">
      <w:pPr>
        <w:spacing w:before="360" w:after="360"/>
        <w:rPr>
          <w:rFonts w:ascii="Calibri Light" w:hAnsi="Calibri Light" w:cs="Calibri Light"/>
        </w:rPr>
      </w:pPr>
      <w:r>
        <w:rPr>
          <w:rFonts w:ascii="Calibri Light" w:hAnsi="Calibri Light" w:cs="Calibri Light"/>
          <w:b/>
          <w:bCs/>
          <w:caps/>
          <w:color w:val="B5974A"/>
          <w:sz w:val="22"/>
          <w:szCs w:val="22"/>
        </w:rPr>
        <w:t>GAMS</w:t>
      </w:r>
    </w:p>
    <w:p w14:paraId="5D6006EC" w14:textId="77777777" w:rsidR="00A1032E" w:rsidRPr="00FA1EC6" w:rsidRDefault="006A7509" w:rsidP="008C534D">
      <w:pPr>
        <w:spacing w:after="120"/>
        <w:rPr>
          <w:rFonts w:ascii="Calibri Light" w:hAnsi="Calibri Light" w:cs="Calibri Light"/>
          <w:color w:val="1F3A93"/>
        </w:rPr>
      </w:pPr>
      <w:r>
        <w:rPr>
          <w:rFonts w:ascii="Calibri Light" w:hAnsi="Calibri Light" w:cs="Calibri Light"/>
          <w:color w:val="1F3A93"/>
          <w:sz w:val="22"/>
          <w:szCs w:val="22"/>
        </w:rPr>
        <w:t>Alternative Funds Legal Working Group</w:t>
      </w:r>
    </w:p>
    <w:p w14:paraId="47F67562" w14:textId="77777777" w:rsidR="00A1032E" w:rsidRPr="00FA1EC6" w:rsidRDefault="006A7509" w:rsidP="008C534D">
      <w:pPr>
        <w:spacing w:before="80"/>
        <w:rPr>
          <w:rFonts w:ascii="Calibri Light" w:hAnsi="Calibri Light" w:cs="Calibri Light"/>
          <w:color w:val="1F3A93"/>
        </w:rPr>
      </w:pPr>
      <w:r>
        <w:rPr>
          <w:rFonts w:ascii="Calibri Light" w:hAnsi="Calibri Light" w:cs="Calibri Light"/>
          <w:b/>
          <w:bCs/>
          <w:color w:val="1F3A93"/>
          <w:sz w:val="72"/>
          <w:szCs w:val="72"/>
        </w:rPr>
        <w:t xml:space="preserve">Fund Term Sheet </w:t>
      </w:r>
    </w:p>
    <w:p w14:paraId="55020EC9" w14:textId="77777777" w:rsidR="00A1032E" w:rsidRPr="00FA1EC6" w:rsidRDefault="006A7509" w:rsidP="008C534D">
      <w:pPr>
        <w:rPr>
          <w:rFonts w:ascii="Calibri Light" w:hAnsi="Calibri Light" w:cs="Calibri Light"/>
          <w:color w:val="1F3A93"/>
        </w:rPr>
      </w:pPr>
      <w:r>
        <w:rPr>
          <w:rFonts w:ascii="Calibri Light" w:hAnsi="Calibri Light" w:cs="Calibri Light"/>
          <w:color w:val="1F3A93"/>
          <w:sz w:val="26"/>
          <w:szCs w:val="26"/>
        </w:rPr>
        <w:t>Template with Practitioner Guidance Notes</w:t>
      </w:r>
    </w:p>
    <w:p w14:paraId="4AFE1B39" w14:textId="77777777" w:rsidR="000440A8" w:rsidRPr="009B7F09" w:rsidRDefault="000440A8">
      <w:pPr>
        <w:spacing w:before="800"/>
        <w:rPr>
          <w:rFonts w:ascii="Calibri Light" w:hAnsi="Calibri Light" w:cs="Calibri Light"/>
        </w:rPr>
      </w:pPr>
    </w:p>
    <w:p w14:paraId="11672A42" w14:textId="77777777" w:rsidR="000F79D4" w:rsidRDefault="000F79D4" w:rsidP="000F79D4">
      <w:pPr>
        <w:spacing w:before="120" w:after="120"/>
        <w:jc w:val="center"/>
        <w:rPr>
          <w:rFonts w:ascii="Calibri Light" w:hAnsi="Calibri Light" w:cs="Calibri Light"/>
          <w:b/>
          <w:bCs/>
          <w:caps/>
          <w:color w:val="B5974A"/>
          <w:sz w:val="16"/>
          <w:szCs w:val="16"/>
        </w:rPr>
      </w:pPr>
      <w:r>
        <w:rPr>
          <w:rFonts w:ascii="Calibri Light" w:hAnsi="Calibri Light" w:cs="Calibri Light"/>
          <w:b/>
          <w:bCs/>
          <w:caps/>
          <w:color w:val="B5974A"/>
          <w:sz w:val="16"/>
          <w:szCs w:val="16"/>
        </w:rPr>
        <w:t>Important Note:</w:t>
      </w:r>
    </w:p>
    <w:p w14:paraId="3DCCE391" w14:textId="77777777" w:rsidR="000F79D4" w:rsidRPr="00FA1EC6" w:rsidRDefault="000F79D4" w:rsidP="000F79D4">
      <w:pPr>
        <w:spacing w:before="120" w:after="120"/>
        <w:jc w:val="both"/>
        <w:rPr>
          <w:rFonts w:ascii="Calibri Light" w:hAnsi="Calibri Light" w:cs="Calibri Light"/>
          <w:color w:val="1F3A93"/>
          <w:sz w:val="16"/>
          <w:szCs w:val="16"/>
        </w:rPr>
      </w:pPr>
      <w:r>
        <w:rPr>
          <w:rFonts w:ascii="Calibri Light" w:hAnsi="Calibri Light" w:cs="Calibri Light"/>
          <w:color w:val="1F3A93"/>
          <w:sz w:val="16"/>
          <w:szCs w:val="16"/>
        </w:rPr>
        <w:t>This document is a template developed by the GAMS Alternative Funds Legal Working Group and published by Global Asset Management Standards as a freely available industry resource. It is provided for informational and precedent purposes, on an "as is" basis and without warranty as to accuracy, completeness or currency. It does not constitute legal advice. Users must satisfy themselves that the drafting is appropriate for their structure and should take advice from a Luxembourg-qualified lawyer before use.</w:t>
      </w:r>
    </w:p>
    <w:p w14:paraId="7843175A" w14:textId="77777777" w:rsidR="000440A8" w:rsidRPr="009B7F09" w:rsidRDefault="000440A8">
      <w:pPr>
        <w:spacing w:before="800"/>
        <w:rPr>
          <w:rFonts w:ascii="Calibri Light" w:hAnsi="Calibri Light" w:cs="Calibri Light"/>
        </w:rPr>
      </w:pPr>
    </w:p>
    <w:p w14:paraId="40E3C431" w14:textId="77777777" w:rsidR="00A1032E" w:rsidRPr="009B7F09" w:rsidRDefault="00A1032E">
      <w:pPr>
        <w:pBdr>
          <w:bottom w:val="single" w:sz="8" w:space="1" w:color="B5974A"/>
        </w:pBdr>
        <w:rPr>
          <w:rFonts w:ascii="Calibri Light" w:hAnsi="Calibri Light" w:cs="Calibri Light"/>
        </w:rPr>
      </w:pPr>
    </w:p>
    <w:p w14:paraId="7CEA663C" w14:textId="77777777" w:rsidR="00A1032E" w:rsidRPr="009B7F09" w:rsidRDefault="00A1032E">
      <w:pPr>
        <w:spacing w:before="120"/>
        <w:rPr>
          <w:rFonts w:ascii="Calibri Light" w:hAnsi="Calibri Light" w:cs="Calibri Light"/>
        </w:rPr>
      </w:pPr>
    </w:p>
    <w:p w14:paraId="47611537" w14:textId="77777777" w:rsidR="00A1032E" w:rsidRPr="00FA1EC6" w:rsidRDefault="006A7509">
      <w:pPr>
        <w:spacing w:after="60"/>
        <w:rPr>
          <w:rFonts w:ascii="Calibri Light" w:hAnsi="Calibri Light" w:cs="Calibri Light"/>
          <w:color w:val="1F3A93"/>
        </w:rPr>
      </w:pPr>
      <w:r>
        <w:rPr>
          <w:rFonts w:ascii="Calibri Light" w:hAnsi="Calibri Light" w:cs="Calibri Light"/>
          <w:color w:val="1F3A93"/>
          <w:sz w:val="16"/>
          <w:szCs w:val="16"/>
        </w:rPr>
        <w:t xml:space="preserve">Prepared by  </w:t>
      </w:r>
      <w:r>
        <w:rPr>
          <w:rFonts w:ascii="Calibri Light" w:hAnsi="Calibri Light" w:cs="Calibri Light"/>
          <w:b/>
          <w:bCs/>
          <w:color w:val="1F3A93"/>
          <w:sz w:val="16"/>
          <w:szCs w:val="16"/>
        </w:rPr>
        <w:t>Leroy &amp; Goldbach, Luxembourg</w:t>
      </w:r>
    </w:p>
    <w:p w14:paraId="7277BDE9" w14:textId="77777777" w:rsidR="00A1032E" w:rsidRPr="00FA1EC6" w:rsidRDefault="006A7509">
      <w:pPr>
        <w:spacing w:after="60"/>
        <w:rPr>
          <w:rFonts w:ascii="Calibri Light" w:hAnsi="Calibri Light" w:cs="Calibri Light"/>
          <w:color w:val="1F3A93"/>
        </w:rPr>
      </w:pPr>
      <w:r>
        <w:rPr>
          <w:rFonts w:ascii="Calibri Light" w:hAnsi="Calibri Light" w:cs="Calibri Light"/>
          <w:color w:val="1F3A93"/>
          <w:sz w:val="16"/>
          <w:szCs w:val="16"/>
        </w:rPr>
        <w:t xml:space="preserve">Status  </w:t>
      </w:r>
      <w:r>
        <w:rPr>
          <w:rFonts w:ascii="Calibri Light" w:hAnsi="Calibri Light" w:cs="Calibri Light"/>
          <w:b/>
          <w:bCs/>
          <w:color w:val="1F3A93"/>
          <w:sz w:val="16"/>
          <w:szCs w:val="16"/>
        </w:rPr>
        <w:t>Version 1.0 — Template</w:t>
      </w:r>
    </w:p>
    <w:p w14:paraId="76BD992A" w14:textId="77777777" w:rsidR="00A1032E" w:rsidRPr="00FA1EC6" w:rsidRDefault="006A7509">
      <w:pPr>
        <w:spacing w:after="60"/>
        <w:rPr>
          <w:rFonts w:ascii="Calibri Light" w:hAnsi="Calibri Light" w:cs="Calibri Light"/>
          <w:color w:val="1F3A93"/>
        </w:rPr>
      </w:pPr>
      <w:r>
        <w:rPr>
          <w:rFonts w:ascii="Calibri Light" w:hAnsi="Calibri Light" w:cs="Calibri Light"/>
          <w:color w:val="1F3A93"/>
          <w:sz w:val="16"/>
          <w:szCs w:val="16"/>
        </w:rPr>
        <w:t xml:space="preserve">Date  September </w:t>
      </w:r>
      <w:r>
        <w:rPr>
          <w:rFonts w:ascii="Calibri Light" w:hAnsi="Calibri Light" w:cs="Calibri Light"/>
          <w:b/>
          <w:bCs/>
          <w:color w:val="1F3A93"/>
          <w:sz w:val="16"/>
          <w:szCs w:val="16"/>
        </w:rPr>
        <w:t>2026</w:t>
      </w:r>
    </w:p>
    <w:p w14:paraId="62A9D478" w14:textId="77777777" w:rsidR="00CC4646" w:rsidRPr="00FA1EC6" w:rsidRDefault="006A7509" w:rsidP="00CC4646">
      <w:pPr>
        <w:spacing w:after="160" w:line="278" w:lineRule="auto"/>
        <w:rPr>
          <w:rFonts w:ascii="Calibri Light" w:hAnsi="Calibri Light" w:cs="Calibri Light"/>
          <w:b/>
          <w:bCs/>
          <w:color w:val="1F3A93"/>
          <w:sz w:val="16"/>
          <w:szCs w:val="16"/>
        </w:rPr>
      </w:pPr>
      <w:r>
        <w:rPr>
          <w:rFonts w:ascii="Calibri Light" w:hAnsi="Calibri Light" w:cs="Calibri Light"/>
          <w:color w:val="1F3A93"/>
          <w:sz w:val="16"/>
          <w:szCs w:val="16"/>
        </w:rPr>
        <w:t xml:space="preserve">Scope  </w:t>
      </w:r>
      <w:r>
        <w:rPr>
          <w:rFonts w:ascii="Calibri Light" w:hAnsi="Calibri Light" w:cs="Calibri Light"/>
          <w:b/>
          <w:bCs/>
          <w:color w:val="1F3A93"/>
          <w:sz w:val="16"/>
          <w:szCs w:val="16"/>
        </w:rPr>
        <w:t xml:space="preserve">Luxembourg alternative investment funds organised as common limited partnerships (sociétés en commandite simple — SCS) or special limited partnerships (sociétés en commandite spéciale — SCSp), across three regulatory </w:t>
      </w:r>
      <w:r>
        <w:rPr>
          <w:rFonts w:ascii="Calibri Light" w:hAnsi="Calibri Light" w:cs="Calibri Light"/>
          <w:b/>
          <w:bCs/>
          <w:color w:val="1F3A93"/>
          <w:sz w:val="16"/>
          <w:szCs w:val="16"/>
        </w:rPr>
        <w:t xml:space="preserve">regimes (with a non-SICAV variant as Option 4)</w:t>
      </w:r>
      <w:r>
        <w:rPr>
          <w:rFonts w:ascii="Calibri Light" w:hAnsi="Calibri Light" w:cs="Calibri Light"/>
          <w:b/>
          <w:bCs/>
          <w:color w:val="1F3A93"/>
          <w:sz w:val="16"/>
          <w:szCs w:val="16"/>
        </w:rPr>
        <w:t xml:space="preserve">: (1) an unregulated SCSp/SCS managed by a sub-threshold registered manager, (2) an SCS/SCSp SICAV-SIF (investment company with variable capital — specialised investment fund) and (3) an SCS/SCSp SICAV-RAIF (investment company with variable capital — reserved alternative investment fund) with an authorised external AIFM</w:t>
      </w:r>
    </w:p>
    <w:p w14:paraId="2848F54F" w14:textId="77777777" w:rsidR="009B7F09" w:rsidRPr="00FA1EC6" w:rsidRDefault="009B7F09">
      <w:pPr>
        <w:spacing w:after="60"/>
        <w:rPr>
          <w:rFonts w:ascii="Calibri Light" w:hAnsi="Calibri Light" w:cs="Calibri Light"/>
          <w:b/>
          <w:bCs/>
          <w:color w:val="1F3A93"/>
          <w:sz w:val="16"/>
          <w:szCs w:val="16"/>
        </w:rPr>
      </w:pPr>
    </w:p>
    <w:p w14:paraId="11F798E4" w14:textId="77777777" w:rsidR="009B7F09" w:rsidRPr="00FA1EC6" w:rsidRDefault="009B7F09">
      <w:pPr>
        <w:spacing w:after="60"/>
        <w:rPr>
          <w:rFonts w:ascii="Calibri Light" w:hAnsi="Calibri Light" w:cs="Calibri Light"/>
          <w:color w:val="1F3A93"/>
          <w:sz w:val="16"/>
          <w:szCs w:val="16"/>
        </w:rPr>
      </w:pPr>
      <w:r>
        <w:rPr>
          <w:rFonts w:ascii="Calibri Light" w:hAnsi="Calibri Light" w:cs="Calibri Light"/>
          <w:color w:val="1F3A93"/>
          <w:sz w:val="16"/>
          <w:szCs w:val="16"/>
        </w:rPr>
        <w:t>Neither Global Asset Management Standards, the members of the Alternative Funds Legal Working Group, nor any firm with which they are associated accepts any responsibility or liability for the content of this template or for any use made of it, or of any portion of it. Responsibility for the content of any term sheet produced using this template, and for its use and distribution, rests with the person issuing it</w:t>
      </w:r>
    </w:p>
    <w:p w14:paraId="62B1175A" w14:textId="77777777" w:rsidR="00A1032E" w:rsidRPr="009B7F09" w:rsidRDefault="006A7509">
      <w:pPr>
        <w:rPr>
          <w:rFonts w:ascii="Calibri Light" w:hAnsi="Calibri Light" w:cs="Calibri Light"/>
        </w:rPr>
      </w:pPr>
      <w:r>
        <w:rPr>
          <w:rFonts w:ascii="Calibri Light" w:hAnsi="Calibri Light" w:cs="Calibri Light"/>
        </w:rPr>
        <w:br w:type="page"/>
      </w:r>
    </w:p>
    <w:p w14:paraId="3ED9BE33" w14:textId="77777777" w:rsidR="00A1032E" w:rsidRPr="009B7F09" w:rsidRDefault="00A1032E">
      <w:pPr>
        <w:rPr>
          <w:rFonts w:ascii="Calibri Light" w:hAnsi="Calibri Light" w:cs="Calibri Light"/>
        </w:rPr>
        <w:sectPr w:rsidR="00A1032E" w:rsidRPr="009B7F09">
          <w:headerReference w:type="default" r:id="rId12"/>
          <w:pgSz w:w="11906" w:h="16838"/>
          <w:pgMar w:top="1440" w:right="1440" w:bottom="1440" w:left="1800" w:header="708" w:footer="708" w:gutter="0"/>
          <w:cols w:space="720"/>
          <w:formProt w:val="0"/>
          <w:docGrid w:linePitch="360"/>
        </w:sectPr>
      </w:pPr>
    </w:p>
    <w:p w14:paraId="42627096" w14:textId="77777777" w:rsidR="00A1032E" w:rsidRPr="00FA1EC6" w:rsidRDefault="006A7509" w:rsidP="005F01A8">
      <w:pPr>
        <w:pStyle w:val="Heading1"/>
        <w:spacing w:before="120"/>
        <w:rPr>
          <w:rFonts w:ascii="Calibri Light" w:hAnsi="Calibri Light" w:cs="Calibri Light"/>
          <w:color w:val="1F3A93"/>
        </w:rPr>
      </w:pPr>
      <w:r>
        <w:rPr>
          <w:rFonts w:ascii="Calibri Light" w:hAnsi="Calibri Light" w:cs="Calibri Light"/>
          <w:color w:val="1F3A93"/>
          <w:sz w:val="26"/>
          <w:szCs w:val="26"/>
        </w:rPr>
        <w:lastRenderedPageBreak/>
        <w:t>How to Use This Template</w:t>
      </w:r>
    </w:p>
    <w:p w14:paraId="5585FDF6" w14:textId="77777777" w:rsidR="00CC4646" w:rsidRPr="00FA1EC6" w:rsidRDefault="00CC4646" w:rsidP="009B7F09">
      <w:pPr>
        <w:spacing w:before="120" w:after="120"/>
        <w:jc w:val="both"/>
        <w:rPr>
          <w:rFonts w:ascii="Calibri Light" w:hAnsi="Calibri Light" w:cs="Calibri Light"/>
          <w:color w:val="1F3A93"/>
        </w:rPr>
      </w:pPr>
      <w:r>
        <w:rPr>
          <w:rFonts w:ascii="Calibri Light" w:hAnsi="Calibri Light" w:cs="Calibri Light"/>
          <w:color w:val="1F3A93"/>
        </w:rPr>
        <w:t xml:space="preserve">This fund term sheet template (the “Term Sheet”) is designed for use by lawyers, fund managers, and their advisors in the structuring of Luxembourg alternative investment funds organised as common limited partnerships (sociétés en commandite simple — SCS) or special limited partnerships (sociétés en commandite spéciale — SCSp). It covers three regulatory </w:t>
      </w:r>
      <w:r>
        <w:rPr>
          <w:rFonts w:ascii="Calibri Light" w:hAnsi="Calibri Light" w:cs="Calibri Light"/>
          <w:color w:val="1F3A93"/>
        </w:rPr>
        <w:t xml:space="preserve">regimes (with a non-SICAV variant as Option 4)</w:t>
      </w:r>
      <w:r>
        <w:rPr>
          <w:rFonts w:ascii="Calibri Light" w:hAnsi="Calibri Light" w:cs="Calibri Light"/>
          <w:color w:val="1F3A93"/>
        </w:rPr>
        <w:t xml:space="preserve">: (1) an unregulated SCSp/SCS managed by a sub-threshold registered manager, (2) an SCS/SCSp SICAV-SIF (investment company with variable capital — specialised investment fund) and (3) an SCS/SCSp SICAV-RAIF (investment company with variable capital — reserved alternative investment fund) with an authorised external AIFM.</w:t>
      </w:r>
    </w:p>
    <w:p w14:paraId="106CAD8C" w14:textId="77777777" w:rsidR="00146CAD" w:rsidRPr="00FA1EC6" w:rsidRDefault="00146CAD" w:rsidP="00CC4646">
      <w:pPr>
        <w:spacing w:before="120" w:after="120"/>
        <w:jc w:val="both"/>
        <w:rPr>
          <w:rFonts w:ascii="Calibri Light" w:hAnsi="Calibri Light" w:cs="Calibri Light"/>
          <w:color w:val="1F3A93"/>
        </w:rPr>
      </w:pPr>
      <w:r>
        <w:rPr>
          <w:rFonts w:ascii="Calibri Light" w:hAnsi="Calibri Light" w:cs="Calibri Light"/>
          <w:color w:val="1F3A93"/>
        </w:rPr>
        <w:t xml:space="preserve">The template is in three columns: the field name, the template drafting language, and a practitioner guidance note. Guidance notes and footnotes are for internal use only and must be removed in their entirety before the Term Sheet is circulated to any investor or counterparty. If you identify an area for improvement, please use the feedback form on the GAMS Templates and Resources page for this resource (open.gamstandards.com), so that the Working Group can consider it for the next release. </w:t>
      </w:r>
    </w:p>
    <w:p w14:paraId="344A8BE8" w14:textId="77777777" w:rsidR="00146CAD" w:rsidRPr="00FA1EC6" w:rsidRDefault="00146CAD" w:rsidP="005F01A8">
      <w:pPr>
        <w:spacing w:before="120" w:after="120"/>
        <w:jc w:val="both"/>
        <w:rPr>
          <w:rFonts w:ascii="Calibri Light" w:hAnsi="Calibri Light" w:cs="Calibri Light"/>
          <w:color w:val="1F3A93"/>
        </w:rPr>
      </w:pPr>
      <w:r>
        <w:rPr>
          <w:rFonts w:ascii="Calibri Light" w:hAnsi="Calibri Light" w:cs="Calibri Light"/>
          <w:color w:val="1F3A93"/>
        </w:rPr>
        <w:t>This Term Sheet is not a binding legal document. It is a summary of principal terms intended to frame negotiation of the definitive Fund Documents, as defined below. It does not constitute legal advice. Users must obtain independent legal advice before circulating any version to investors.</w:t>
      </w:r>
    </w:p>
    <w:p w14:paraId="2AE61807" w14:textId="77777777" w:rsidR="00146CAD" w:rsidRPr="00FA1EC6" w:rsidRDefault="00146CAD" w:rsidP="005F01A8">
      <w:pPr>
        <w:spacing w:before="120" w:after="120"/>
        <w:rPr>
          <w:rFonts w:ascii="Calibri Light" w:hAnsi="Calibri Light" w:cs="Calibri Light"/>
          <w:color w:val="1F3A93"/>
        </w:rPr>
      </w:pPr>
      <w:r>
        <w:rPr>
          <w:rFonts w:ascii="Calibri Light" w:hAnsi="Calibri Light" w:cs="Calibri Light"/>
          <w:b/>
          <w:bCs/>
          <w:color w:val="1F3A93"/>
          <w:sz w:val="20"/>
          <w:szCs w:val="20"/>
        </w:rPr>
        <w:t>Key to this Template</w:t>
      </w:r>
    </w:p>
    <w:tbl>
      <w:tblPr>
        <w:tblW w:w="8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243"/>
      </w:tblGrid>
      <w:tr w:rsidR="005F01A8" w:rsidRPr="00FA1EC6" w14:paraId="07B3B76C" w14:textId="77777777" w:rsidTr="6FA2409C">
        <w:tc>
          <w:tcPr>
            <w:tcW w:w="2400" w:type="dxa"/>
            <w:tcBorders>
              <w:top w:val="single" w:sz="3" w:space="0" w:color="C8B882"/>
              <w:left w:val="single" w:sz="3" w:space="0" w:color="C8B882"/>
              <w:bottom w:val="single" w:sz="3" w:space="0" w:color="C8B882"/>
              <w:right w:val="single" w:sz="3" w:space="0" w:color="C8B882"/>
            </w:tcBorders>
            <w:shd w:val="clear" w:color="auto" w:fill="FFF9EC"/>
            <w:tcMar>
              <w:top w:w="60" w:type="dxa"/>
              <w:left w:w="120" w:type="dxa"/>
              <w:bottom w:w="60" w:type="dxa"/>
              <w:right w:w="120" w:type="dxa"/>
            </w:tcMar>
          </w:tcPr>
          <w:p w14:paraId="583488BA" w14:textId="77777777" w:rsidR="00146CAD" w:rsidRPr="00FA1EC6" w:rsidRDefault="00146CAD" w:rsidP="005F01A8">
            <w:pPr>
              <w:spacing w:before="120" w:after="120"/>
              <w:rPr>
                <w:rFonts w:ascii="Calibri Light" w:hAnsi="Calibri Light" w:cs="Calibri Light"/>
                <w:color w:val="1F3A93"/>
              </w:rPr>
            </w:pPr>
            <w:r>
              <w:rPr>
                <w:rFonts w:ascii="Calibri Light" w:hAnsi="Calibri Light" w:cs="Calibri Light"/>
                <w:b/>
                <w:bCs/>
                <w:color w:val="1F3A93"/>
                <w:sz w:val="16"/>
                <w:szCs w:val="16"/>
              </w:rPr>
              <w:t>[[FundName]]</w:t>
            </w:r>
          </w:p>
        </w:tc>
        <w:tc>
          <w:tcPr>
            <w:tcW w:w="6243" w:type="dxa"/>
            <w:tcBorders>
              <w:top w:val="single" w:sz="3" w:space="0" w:color="C8B882"/>
              <w:left w:val="single" w:sz="3" w:space="0" w:color="C8B882"/>
              <w:bottom w:val="single" w:sz="3" w:space="0" w:color="C8B882"/>
              <w:right w:val="single" w:sz="3" w:space="0" w:color="C8B882"/>
            </w:tcBorders>
            <w:shd w:val="clear" w:color="auto" w:fill="FFF9EC"/>
            <w:tcMar>
              <w:top w:w="60" w:type="dxa"/>
              <w:left w:w="120" w:type="dxa"/>
              <w:bottom w:w="60" w:type="dxa"/>
              <w:right w:w="120" w:type="dxa"/>
            </w:tcMar>
          </w:tcPr>
          <w:p w14:paraId="726E2CA5" w14:textId="77777777" w:rsidR="00146CAD" w:rsidRPr="00FA1EC6" w:rsidRDefault="00146CAD" w:rsidP="005F01A8">
            <w:pPr>
              <w:spacing w:before="120" w:after="120"/>
              <w:rPr>
                <w:rFonts w:ascii="Calibri Light" w:hAnsi="Calibri Light" w:cs="Calibri Light"/>
                <w:color w:val="1F3A93"/>
              </w:rPr>
            </w:pPr>
            <w:r>
              <w:rPr>
                <w:rFonts w:ascii="Calibri Light" w:hAnsi="Calibri Light" w:cs="Calibri Light"/>
                <w:color w:val="1F3A93"/>
                <w:sz w:val="16"/>
                <w:szCs w:val="16"/>
              </w:rPr>
              <w:t>Bold text in double square brackets: mandatory data placeholder — replace before circulating to any recipient</w:t>
            </w:r>
          </w:p>
        </w:tc>
      </w:tr>
      <w:tr w:rsidR="005F01A8" w:rsidRPr="00FA1EC6" w14:paraId="778D05C4" w14:textId="77777777" w:rsidTr="6FA2409C">
        <w:tc>
          <w:tcPr>
            <w:tcW w:w="2400" w:type="dxa"/>
            <w:tcBorders>
              <w:top w:val="single" w:sz="3" w:space="0" w:color="C8B882"/>
              <w:left w:val="single" w:sz="3" w:space="0" w:color="C8B882"/>
              <w:bottom w:val="single" w:sz="3" w:space="0" w:color="C8B882"/>
              <w:right w:val="single" w:sz="3" w:space="0" w:color="C8B882"/>
            </w:tcBorders>
            <w:shd w:val="clear" w:color="auto" w:fill="FFF9EC"/>
            <w:tcMar>
              <w:top w:w="60" w:type="dxa"/>
              <w:left w:w="120" w:type="dxa"/>
              <w:bottom w:w="60" w:type="dxa"/>
              <w:right w:w="120" w:type="dxa"/>
            </w:tcMar>
          </w:tcPr>
          <w:p w14:paraId="149058EB" w14:textId="77777777" w:rsidR="00146CAD" w:rsidRPr="00FA1EC6" w:rsidRDefault="00146CAD" w:rsidP="005F01A8">
            <w:pPr>
              <w:spacing w:before="120" w:after="120"/>
              <w:rPr>
                <w:rFonts w:ascii="Calibri Light" w:hAnsi="Calibri Light" w:cs="Calibri Light"/>
                <w:color w:val="1F3A93"/>
              </w:rPr>
            </w:pPr>
            <w:r>
              <w:rPr>
                <w:rFonts w:ascii="Calibri Light" w:hAnsi="Calibri Light" w:cs="Calibri Light"/>
                <w:b/>
                <w:bCs/>
                <w:color w:val="1F3A93"/>
                <w:sz w:val="16"/>
                <w:szCs w:val="16"/>
              </w:rPr>
              <w:t>[Optional text]</w:t>
            </w:r>
          </w:p>
        </w:tc>
        <w:tc>
          <w:tcPr>
            <w:tcW w:w="6243" w:type="dxa"/>
            <w:tcBorders>
              <w:top w:val="single" w:sz="3" w:space="0" w:color="C8B882"/>
              <w:left w:val="single" w:sz="3" w:space="0" w:color="C8B882"/>
              <w:bottom w:val="single" w:sz="3" w:space="0" w:color="C8B882"/>
              <w:right w:val="single" w:sz="3" w:space="0" w:color="C8B882"/>
            </w:tcBorders>
            <w:shd w:val="clear" w:color="auto" w:fill="FFF9EC"/>
            <w:tcMar>
              <w:top w:w="60" w:type="dxa"/>
              <w:left w:w="120" w:type="dxa"/>
              <w:bottom w:w="60" w:type="dxa"/>
              <w:right w:w="120" w:type="dxa"/>
            </w:tcMar>
          </w:tcPr>
          <w:p w14:paraId="00AFE912" w14:textId="77777777" w:rsidR="00146CAD" w:rsidRPr="00FA1EC6" w:rsidRDefault="00146CAD" w:rsidP="005F01A8">
            <w:pPr>
              <w:spacing w:before="120" w:after="120"/>
              <w:rPr>
                <w:rFonts w:ascii="Calibri Light" w:hAnsi="Calibri Light" w:cs="Calibri Light"/>
                <w:color w:val="1F3A93"/>
              </w:rPr>
            </w:pPr>
            <w:r>
              <w:rPr>
                <w:rFonts w:ascii="Calibri Light" w:hAnsi="Calibri Light" w:cs="Calibri Light"/>
                <w:color w:val="1F3A93"/>
                <w:sz w:val="16"/>
                <w:szCs w:val="16"/>
              </w:rPr>
              <w:t>Single square brackets: optional or alternative wording, or a drafting instruction — select, adapt or delete before circulating to any recipient</w:t>
            </w:r>
          </w:p>
        </w:tc>
      </w:tr>
      <w:tr w:rsidR="005F01A8" w:rsidRPr="00FA1EC6" w14:paraId="3BB250A5" w14:textId="77777777" w:rsidTr="6FA2409C">
        <w:tc>
          <w:tcPr>
            <w:tcW w:w="2400" w:type="dxa"/>
            <w:tcBorders>
              <w:top w:val="single" w:sz="3" w:space="0" w:color="C8B882"/>
              <w:left w:val="single" w:sz="3" w:space="0" w:color="C8B882"/>
              <w:bottom w:val="single" w:sz="3" w:space="0" w:color="C8B882"/>
              <w:right w:val="single" w:sz="3" w:space="0" w:color="C8B882"/>
            </w:tcBorders>
            <w:shd w:val="clear" w:color="auto" w:fill="FFFFFF" w:themeFill="background1"/>
            <w:tcMar>
              <w:top w:w="60" w:type="dxa"/>
              <w:left w:w="120" w:type="dxa"/>
              <w:bottom w:w="60" w:type="dxa"/>
              <w:right w:w="120" w:type="dxa"/>
            </w:tcMar>
          </w:tcPr>
          <w:p w14:paraId="7823332D" w14:textId="77777777" w:rsidR="00146CAD" w:rsidRPr="00FA1EC6" w:rsidRDefault="00146CAD" w:rsidP="005F01A8">
            <w:pPr>
              <w:spacing w:before="120" w:after="120"/>
              <w:rPr>
                <w:rFonts w:ascii="Calibri Light" w:hAnsi="Calibri Light" w:cs="Calibri Light"/>
                <w:color w:val="1F3A93"/>
              </w:rPr>
            </w:pPr>
            <w:r>
              <w:rPr>
                <w:rFonts w:ascii="Calibri Light" w:hAnsi="Calibri Light" w:cs="Calibri Light"/>
                <w:b/>
                <w:bCs/>
                <w:color w:val="1F3A93"/>
                <w:sz w:val="16"/>
                <w:szCs w:val="16"/>
              </w:rPr>
              <w:t>Template Drafting</w:t>
            </w:r>
          </w:p>
        </w:tc>
        <w:tc>
          <w:tcPr>
            <w:tcW w:w="6243" w:type="dxa"/>
            <w:tcBorders>
              <w:top w:val="single" w:sz="3" w:space="0" w:color="C8B882"/>
              <w:left w:val="single" w:sz="3" w:space="0" w:color="C8B882"/>
              <w:bottom w:val="single" w:sz="3" w:space="0" w:color="C8B882"/>
              <w:right w:val="single" w:sz="3" w:space="0" w:color="C8B882"/>
            </w:tcBorders>
            <w:shd w:val="clear" w:color="auto" w:fill="FFFFFF" w:themeFill="background1"/>
            <w:tcMar>
              <w:top w:w="60" w:type="dxa"/>
              <w:left w:w="120" w:type="dxa"/>
              <w:bottom w:w="60" w:type="dxa"/>
              <w:right w:w="120" w:type="dxa"/>
            </w:tcMar>
          </w:tcPr>
          <w:p w14:paraId="796F3E34" w14:textId="77777777" w:rsidR="00146CAD" w:rsidRPr="00FA1EC6" w:rsidRDefault="00146CAD" w:rsidP="005F01A8">
            <w:pPr>
              <w:spacing w:before="120" w:after="120"/>
              <w:rPr>
                <w:rFonts w:ascii="Calibri Light" w:hAnsi="Calibri Light" w:cs="Calibri Light"/>
                <w:color w:val="1F3A93"/>
              </w:rPr>
            </w:pPr>
            <w:r>
              <w:rPr>
                <w:rFonts w:ascii="Calibri Light" w:hAnsi="Calibri Light" w:cs="Calibri Light"/>
                <w:color w:val="1F3A93"/>
                <w:sz w:val="16"/>
                <w:szCs w:val="16"/>
              </w:rPr>
              <w:t>Template drafting language; to be adapted to the structure, subject to negotiation and legal advice.</w:t>
            </w:r>
          </w:p>
        </w:tc>
      </w:tr>
      <w:tr w:rsidR="005F01A8" w:rsidRPr="00FA1EC6" w14:paraId="214819BF" w14:textId="77777777" w:rsidTr="6FA2409C">
        <w:tc>
          <w:tcPr>
            <w:tcW w:w="2400" w:type="dxa"/>
            <w:tcBorders>
              <w:top w:val="single" w:sz="3" w:space="0" w:color="C8B882"/>
              <w:left w:val="single" w:sz="3" w:space="0" w:color="C8B882"/>
              <w:bottom w:val="single" w:sz="3" w:space="0" w:color="C8B882"/>
              <w:right w:val="single" w:sz="3" w:space="0" w:color="C8B882"/>
            </w:tcBorders>
            <w:shd w:val="clear" w:color="auto" w:fill="F0EBE0"/>
            <w:tcMar>
              <w:top w:w="60" w:type="dxa"/>
              <w:left w:w="120" w:type="dxa"/>
              <w:bottom w:w="60" w:type="dxa"/>
              <w:right w:w="120" w:type="dxa"/>
            </w:tcMar>
          </w:tcPr>
          <w:p w14:paraId="42CC983E" w14:textId="77777777" w:rsidR="00146CAD" w:rsidRPr="00FA1EC6" w:rsidRDefault="00146CAD" w:rsidP="005F01A8">
            <w:pPr>
              <w:spacing w:before="120" w:after="120"/>
              <w:rPr>
                <w:rFonts w:ascii="Calibri Light" w:hAnsi="Calibri Light" w:cs="Calibri Light"/>
                <w:color w:val="1F3A93"/>
              </w:rPr>
            </w:pPr>
            <w:r>
              <w:rPr>
                <w:rFonts w:ascii="Calibri Light" w:hAnsi="Calibri Light" w:cs="Calibri Light"/>
                <w:b/>
                <w:bCs/>
                <w:color w:val="1F3A93"/>
                <w:sz w:val="16"/>
                <w:szCs w:val="16"/>
              </w:rPr>
              <w:t>Guidance Note</w:t>
            </w:r>
          </w:p>
        </w:tc>
        <w:tc>
          <w:tcPr>
            <w:tcW w:w="6243" w:type="dxa"/>
            <w:tcBorders>
              <w:top w:val="single" w:sz="3" w:space="0" w:color="C8B882"/>
              <w:left w:val="single" w:sz="3" w:space="0" w:color="C8B882"/>
              <w:bottom w:val="single" w:sz="3" w:space="0" w:color="C8B882"/>
              <w:right w:val="single" w:sz="3" w:space="0" w:color="C8B882"/>
            </w:tcBorders>
            <w:shd w:val="clear" w:color="auto" w:fill="F0EBE0"/>
            <w:tcMar>
              <w:top w:w="60" w:type="dxa"/>
              <w:left w:w="120" w:type="dxa"/>
              <w:bottom w:w="60" w:type="dxa"/>
              <w:right w:w="120" w:type="dxa"/>
            </w:tcMar>
          </w:tcPr>
          <w:p w14:paraId="3DF9553F" w14:textId="77777777" w:rsidR="00146CAD" w:rsidRPr="00FA1EC6" w:rsidRDefault="00146CAD" w:rsidP="005F01A8">
            <w:pPr>
              <w:spacing w:before="120" w:after="120"/>
              <w:rPr>
                <w:rFonts w:ascii="Calibri Light" w:hAnsi="Calibri Light" w:cs="Calibri Light"/>
                <w:color w:val="1F3A93"/>
              </w:rPr>
            </w:pPr>
            <w:r>
              <w:rPr>
                <w:rFonts w:ascii="Calibri Light" w:hAnsi="Calibri Light" w:cs="Calibri Light"/>
                <w:color w:val="1F3A93"/>
                <w:sz w:val="16"/>
                <w:szCs w:val="16"/>
              </w:rPr>
              <w:t>Practitioner notes: legal context and key decisions. Remove this column before circulating any term sheet prepared from this template.</w:t>
            </w:r>
          </w:p>
        </w:tc>
      </w:tr>
      <w:tr w:rsidR="005F01A8" w:rsidRPr="00FA1EC6" w14:paraId="09823593" w14:textId="77777777" w:rsidTr="6FA2409C">
        <w:tc>
          <w:tcPr>
            <w:tcW w:w="2400" w:type="dxa"/>
            <w:tcBorders>
              <w:top w:val="single" w:sz="3" w:space="0" w:color="C8B882"/>
              <w:left w:val="single" w:sz="3" w:space="0" w:color="C8B882"/>
              <w:bottom w:val="single" w:sz="3" w:space="0" w:color="C8B882"/>
              <w:right w:val="single" w:sz="3" w:space="0" w:color="C8B882"/>
            </w:tcBorders>
            <w:shd w:val="clear" w:color="auto" w:fill="F5F5F5"/>
            <w:tcMar>
              <w:top w:w="60" w:type="dxa"/>
              <w:left w:w="120" w:type="dxa"/>
              <w:bottom w:w="60" w:type="dxa"/>
              <w:right w:w="120" w:type="dxa"/>
            </w:tcMar>
          </w:tcPr>
          <w:p w14:paraId="66106F47" w14:textId="77777777" w:rsidR="00146CAD" w:rsidRPr="00FA1EC6" w:rsidRDefault="00146CAD" w:rsidP="005F01A8">
            <w:pPr>
              <w:spacing w:before="120" w:after="120"/>
              <w:rPr>
                <w:rFonts w:ascii="Calibri Light" w:hAnsi="Calibri Light" w:cs="Calibri Light"/>
                <w:color w:val="1F3A93"/>
              </w:rPr>
            </w:pPr>
            <w:r>
              <w:rPr>
                <w:rFonts w:ascii="Calibri Light" w:hAnsi="Calibri Light" w:cs="Calibri Light"/>
                <w:b/>
                <w:bCs/>
                <w:color w:val="1F3A93"/>
                <w:sz w:val="16"/>
                <w:szCs w:val="16"/>
              </w:rPr>
              <w:t>Footnotes</w:t>
            </w:r>
          </w:p>
        </w:tc>
        <w:tc>
          <w:tcPr>
            <w:tcW w:w="6243" w:type="dxa"/>
            <w:tcBorders>
              <w:top w:val="single" w:sz="3" w:space="0" w:color="C8B882"/>
              <w:left w:val="single" w:sz="3" w:space="0" w:color="C8B882"/>
              <w:bottom w:val="single" w:sz="3" w:space="0" w:color="C8B882"/>
              <w:right w:val="single" w:sz="3" w:space="0" w:color="C8B882"/>
            </w:tcBorders>
            <w:shd w:val="clear" w:color="auto" w:fill="F5F5F5"/>
            <w:tcMar>
              <w:top w:w="60" w:type="dxa"/>
              <w:left w:w="120" w:type="dxa"/>
              <w:bottom w:w="60" w:type="dxa"/>
              <w:right w:w="120" w:type="dxa"/>
            </w:tcMar>
          </w:tcPr>
          <w:p w14:paraId="1F89EE28" w14:textId="77777777" w:rsidR="00146CAD" w:rsidRPr="00FA1EC6" w:rsidRDefault="00146CAD" w:rsidP="005F01A8">
            <w:pPr>
              <w:spacing w:before="120" w:after="120"/>
              <w:rPr>
                <w:rFonts w:ascii="Calibri Light" w:hAnsi="Calibri Light" w:cs="Calibri Light"/>
                <w:color w:val="1F3A93"/>
              </w:rPr>
            </w:pPr>
            <w:r>
              <w:rPr>
                <w:rFonts w:ascii="Calibri Light" w:hAnsi="Calibri Light" w:cs="Calibri Light"/>
                <w:color w:val="1F3A93"/>
                <w:sz w:val="16"/>
                <w:szCs w:val="16"/>
              </w:rPr>
              <w:t>Technical legal commentary for internal practitioner use. Remove before external circulation.</w:t>
            </w:r>
          </w:p>
        </w:tc>
      </w:tr>
    </w:tbl>
    <w:p w14:paraId="634DEEFD" w14:textId="77777777" w:rsidR="00146CAD" w:rsidRPr="005F01A8" w:rsidRDefault="00146CAD" w:rsidP="005F01A8">
      <w:pPr>
        <w:spacing w:before="120" w:after="120"/>
        <w:rPr>
          <w:rFonts w:ascii="Calibri Light" w:hAnsi="Calibri Light" w:cs="Calibri Light"/>
        </w:rPr>
      </w:pPr>
    </w:p>
    <w:tbl>
      <w:tblPr>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37"/>
      </w:tblGrid>
      <w:tr w:rsidR="005F01A8" w:rsidRPr="005F01A8" w14:paraId="40C06C66" w14:textId="77777777" w:rsidTr="005F01A8">
        <w:tc>
          <w:tcPr>
            <w:tcW w:w="8637" w:type="dxa"/>
            <w:tcBorders>
              <w:top w:val="single" w:sz="8" w:space="0" w:color="0D2240"/>
              <w:left w:val="single" w:sz="8" w:space="0" w:color="0D2240"/>
              <w:bottom w:val="single" w:sz="8" w:space="0" w:color="0D2240"/>
              <w:right w:val="single" w:sz="8" w:space="0" w:color="0D2240"/>
            </w:tcBorders>
            <w:shd w:val="clear" w:color="auto" w:fill="F5F1EA"/>
            <w:tcMar>
              <w:top w:w="160" w:type="dxa"/>
              <w:left w:w="200" w:type="dxa"/>
              <w:bottom w:w="160" w:type="dxa"/>
              <w:right w:w="200" w:type="dxa"/>
            </w:tcMar>
          </w:tcPr>
          <w:p w14:paraId="3FD64EA8" w14:textId="77777777" w:rsidR="00146CAD" w:rsidRPr="00FA1EC6" w:rsidRDefault="00146CAD" w:rsidP="005F01A8">
            <w:pPr>
              <w:spacing w:before="120" w:after="120"/>
              <w:rPr>
                <w:rFonts w:ascii="Calibri Light" w:hAnsi="Calibri Light" w:cs="Calibri Light"/>
                <w:color w:val="1F3A93"/>
              </w:rPr>
            </w:pPr>
            <w:r>
              <w:rPr>
                <w:rFonts w:ascii="Calibri Light" w:hAnsi="Calibri Light" w:cs="Calibri Light"/>
                <w:b/>
                <w:bCs/>
                <w:color w:val="1F3A93"/>
                <w:sz w:val="20"/>
                <w:szCs w:val="20"/>
              </w:rPr>
              <w:t>IMPORTANT NOTICE FOR ALL PARTIES</w:t>
            </w:r>
          </w:p>
          <w:p w14:paraId="1B944858" w14:textId="77777777" w:rsidR="00146CAD" w:rsidRPr="00FA1EC6" w:rsidRDefault="00146CAD" w:rsidP="005F01A8">
            <w:pPr>
              <w:spacing w:before="120" w:after="120"/>
              <w:jc w:val="both"/>
              <w:rPr>
                <w:rFonts w:ascii="Calibri Light" w:hAnsi="Calibri Light" w:cs="Calibri Light"/>
                <w:color w:val="1F3A93"/>
              </w:rPr>
            </w:pPr>
            <w:r>
              <w:rPr>
                <w:rFonts w:ascii="Calibri Light" w:hAnsi="Calibri Light" w:cs="Calibri Light"/>
                <w:color w:val="1F3A93"/>
                <w:sz w:val="16"/>
                <w:szCs w:val="16"/>
              </w:rPr>
              <w:t>This document is a template developed under the GAMS Alternative Funds Legal Working Group for informational and precedent purposes only. It does not constitute legal advice and does not create any attorney-client relationship. Users are responsible for obtaining independent legal, tax, regulatory, and financial advice appropriate to their specific circumstances, fund structure, and target jurisdictions.</w:t>
            </w:r>
          </w:p>
          <w:p w14:paraId="22A80C1F" w14:textId="77777777" w:rsidR="00146CAD" w:rsidRPr="00FA1EC6" w:rsidRDefault="00146CAD" w:rsidP="005F01A8">
            <w:pPr>
              <w:spacing w:before="120" w:after="120"/>
              <w:jc w:val="both"/>
              <w:rPr>
                <w:rFonts w:ascii="Calibri Light" w:hAnsi="Calibri Light" w:cs="Calibri Light"/>
                <w:color w:val="1F3A93"/>
              </w:rPr>
            </w:pPr>
            <w:r>
              <w:rPr>
                <w:rFonts w:ascii="Calibri Light" w:hAnsi="Calibri Light" w:cs="Calibri Light"/>
                <w:color w:val="1F3A93"/>
                <w:sz w:val="16"/>
                <w:szCs w:val="16"/>
              </w:rPr>
              <w:t xml:space="preserve">The template language has been prepared by reference to Luxembourg law and regulation as at the date of publication and may not reflect all applicable legal or regulatory developments. Neither GAMS, Leroy &amp; Goldbach, nor any contributor accepts any responsibility for the use of this template or the accuracy of any information herein. </w:t>
            </w:r>
          </w:p>
          <w:p w14:paraId="23E5C4ED" w14:textId="77777777" w:rsidR="00146CAD" w:rsidRPr="005F01A8" w:rsidRDefault="00146CAD" w:rsidP="005F01A8">
            <w:pPr>
              <w:spacing w:before="120" w:after="120"/>
              <w:rPr>
                <w:rFonts w:ascii="Calibri Light" w:hAnsi="Calibri Light" w:cs="Calibri Light"/>
              </w:rPr>
            </w:pPr>
            <w:r>
              <w:rPr>
                <w:rFonts w:ascii="Calibri Light" w:hAnsi="Calibri Light" w:cs="Calibri Light"/>
                <w:b/>
                <w:bCs/>
                <w:color w:val="1F3A93"/>
                <w:sz w:val="16"/>
                <w:szCs w:val="16"/>
              </w:rPr>
              <w:t>The Guidance Notes column and all footnotes are for internal use only and must be removed before the Term Sheet is finalised and circulated. The disclaimer at the front of this document must be completed and included in the circulated version.</w:t>
            </w:r>
          </w:p>
        </w:tc>
      </w:tr>
    </w:tbl>
    <w:p w14:paraId="310B56A7" w14:textId="77777777" w:rsidR="00146CAD" w:rsidRDefault="00146CAD" w:rsidP="005F01A8">
      <w:pPr>
        <w:spacing w:before="120" w:after="120"/>
        <w:jc w:val="center"/>
        <w:rPr>
          <w:rFonts w:ascii="Calibri Light" w:hAnsi="Calibri Light" w:cs="Calibri Light"/>
          <w:b/>
          <w:bCs/>
          <w:caps/>
          <w:color w:val="B5974A"/>
          <w:sz w:val="16"/>
          <w:szCs w:val="16"/>
        </w:rPr>
      </w:pPr>
    </w:p>
    <w:p w14:paraId="1B081717" w14:textId="77777777" w:rsidR="000F79D4" w:rsidRDefault="000F79D4" w:rsidP="000F79D4">
      <w:pPr>
        <w:spacing w:before="120" w:after="120"/>
        <w:rPr>
          <w:rFonts w:ascii="Calibri Light" w:hAnsi="Calibri Light" w:cs="Calibri Light"/>
          <w:b/>
          <w:bCs/>
          <w:caps/>
          <w:color w:val="B5974A"/>
          <w:sz w:val="16"/>
          <w:szCs w:val="16"/>
        </w:rPr>
      </w:pPr>
    </w:p>
    <w:p w14:paraId="206A9FB4" w14:textId="77777777" w:rsidR="00950FF5" w:rsidRDefault="00950FF5" w:rsidP="005F01A8">
      <w:pPr>
        <w:spacing w:before="120" w:after="120"/>
        <w:jc w:val="center"/>
        <w:rPr>
          <w:rFonts w:ascii="Calibri Light" w:hAnsi="Calibri Light" w:cs="Calibri Light"/>
          <w:b/>
          <w:bCs/>
          <w:caps/>
          <w:color w:val="B5974A"/>
          <w:sz w:val="16"/>
          <w:szCs w:val="16"/>
        </w:rPr>
      </w:pPr>
    </w:p>
    <w:p w14:paraId="357D87C5" w14:textId="77777777" w:rsidR="00950FF5" w:rsidRDefault="00950FF5" w:rsidP="005F01A8">
      <w:pPr>
        <w:spacing w:before="120" w:after="120"/>
        <w:jc w:val="center"/>
        <w:rPr>
          <w:rFonts w:ascii="Calibri Light" w:hAnsi="Calibri Light" w:cs="Calibri Light"/>
          <w:b/>
          <w:bCs/>
          <w:caps/>
          <w:color w:val="B5974A"/>
          <w:sz w:val="16"/>
          <w:szCs w:val="16"/>
        </w:rPr>
      </w:pPr>
    </w:p>
    <w:p w14:paraId="2BCE6011" w14:textId="77777777" w:rsidR="00950FF5" w:rsidRDefault="00950FF5" w:rsidP="005F01A8">
      <w:pPr>
        <w:spacing w:before="120" w:after="120"/>
        <w:jc w:val="center"/>
        <w:rPr>
          <w:rFonts w:ascii="Calibri Light" w:hAnsi="Calibri Light" w:cs="Calibri Light"/>
          <w:b/>
          <w:bCs/>
          <w:caps/>
          <w:color w:val="B5974A"/>
          <w:sz w:val="16"/>
          <w:szCs w:val="16"/>
        </w:rPr>
      </w:pPr>
    </w:p>
    <w:p w14:paraId="27483B4D" w14:textId="77777777" w:rsidR="000F79D4" w:rsidRDefault="000F79D4" w:rsidP="005F01A8">
      <w:pPr>
        <w:spacing w:before="120" w:after="120"/>
        <w:jc w:val="center"/>
        <w:rPr>
          <w:rFonts w:ascii="Calibri Light" w:hAnsi="Calibri Light" w:cs="Calibri Light"/>
          <w:b/>
          <w:bCs/>
          <w:caps/>
          <w:color w:val="B5974A"/>
          <w:sz w:val="16"/>
          <w:szCs w:val="16"/>
        </w:rPr>
      </w:pPr>
    </w:p>
    <w:p w14:paraId="3528C633" w14:textId="77777777" w:rsidR="00A1032E" w:rsidRPr="00FA1EC6" w:rsidRDefault="006A7509" w:rsidP="005F01A8">
      <w:pPr>
        <w:spacing w:before="120" w:after="120"/>
        <w:jc w:val="center"/>
        <w:rPr>
          <w:rFonts w:ascii="Calibri Light" w:hAnsi="Calibri Light" w:cs="Calibri Light"/>
          <w:color w:val="1F3A93"/>
        </w:rPr>
      </w:pPr>
      <w:r>
        <w:rPr>
          <w:rFonts w:ascii="Calibri Light" w:hAnsi="Calibri Light" w:cs="Calibri Light"/>
          <w:i/>
          <w:iCs/>
          <w:color w:val="1F3A93"/>
          <w:sz w:val="16"/>
          <w:szCs w:val="16"/>
        </w:rPr>
        <w:t>The following terms are subject to revision.</w:t>
      </w:r>
    </w:p>
    <w:p w14:paraId="78485715" w14:textId="77777777" w:rsidR="000440A8" w:rsidRPr="009B7F09" w:rsidRDefault="000440A8">
      <w:pPr>
        <w:rPr>
          <w:rFonts w:ascii="Calibri Light" w:hAnsi="Calibri Light" w:cs="Calibri Light"/>
        </w:rPr>
      </w:pPr>
      <w:r>
        <w:rPr>
          <w:rFonts w:ascii="Calibri Light" w:hAnsi="Calibri Light" w:cs="Calibri Light"/>
        </w:rPr>
        <w:br w:type="page"/>
      </w:r>
    </w:p>
    <w:p w14:paraId="0A41C88D" w14:textId="77777777" w:rsidR="000440A8" w:rsidRPr="009B7F09" w:rsidRDefault="00911F9A">
      <w:pPr>
        <w:rPr>
          <w:rFonts w:ascii="Calibri Light" w:hAnsi="Calibri Light" w:cs="Calibri Light"/>
        </w:rPr>
      </w:pPr>
      <w:r>
        <w:rPr>
          <w:rFonts w:ascii="Calibri Light" w:eastAsia="Calibri" w:hAnsi="Calibri Light" w:cs="Calibri Light"/>
          <w:bCs/>
          <w:noProof/>
          <w:sz w:val="22"/>
        </w:rPr>
        <w:lastRenderedPageBreak/>
        <w:drawing>
          <wp:anchor distT="0" distB="0" distL="114300" distR="114300" simplePos="0" relativeHeight="251661312" behindDoc="1" locked="0" layoutInCell="1" allowOverlap="1" wp14:anchorId="786EBC17" wp14:editId="4B32BD82">
            <wp:simplePos x="0" y="0"/>
            <wp:positionH relativeFrom="page">
              <wp:align>center</wp:align>
            </wp:positionH>
            <wp:positionV relativeFrom="paragraph">
              <wp:posOffset>8255</wp:posOffset>
            </wp:positionV>
            <wp:extent cx="1838325" cy="1402215"/>
            <wp:effectExtent l="0" t="0" r="0" b="0"/>
            <wp:wrapTight wrapText="bothSides">
              <wp:wrapPolygon edited="0">
                <wp:start x="10073" y="880"/>
                <wp:lineTo x="5820" y="3815"/>
                <wp:lineTo x="4924" y="4696"/>
                <wp:lineTo x="4924" y="10859"/>
                <wp:lineTo x="672" y="15554"/>
                <wp:lineTo x="672" y="17022"/>
                <wp:lineTo x="3134" y="19957"/>
                <wp:lineTo x="4253" y="20543"/>
                <wp:lineTo x="16788" y="20543"/>
                <wp:lineTo x="17907" y="19957"/>
                <wp:lineTo x="20817" y="16728"/>
                <wp:lineTo x="20593" y="15554"/>
                <wp:lineTo x="16340" y="10859"/>
                <wp:lineTo x="16564" y="4989"/>
                <wp:lineTo x="15445" y="3815"/>
                <wp:lineTo x="11192" y="880"/>
                <wp:lineTo x="10073" y="880"/>
              </wp:wrapPolygon>
            </wp:wrapTight>
            <wp:docPr id="1016269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38325" cy="1402215"/>
                    </a:xfrm>
                    <a:prstGeom prst="rect">
                      <a:avLst/>
                    </a:prstGeom>
                    <a:noFill/>
                    <a:ln>
                      <a:noFill/>
                    </a:ln>
                  </pic:spPr>
                </pic:pic>
              </a:graphicData>
            </a:graphic>
          </wp:anchor>
        </w:drawing>
      </w:r>
    </w:p>
    <w:p w14:paraId="18B78FE2" w14:textId="77777777" w:rsidR="000440A8" w:rsidRPr="009B7F09" w:rsidRDefault="000440A8">
      <w:pPr>
        <w:rPr>
          <w:rFonts w:ascii="Calibri Light" w:hAnsi="Calibri Light" w:cs="Calibri Light"/>
        </w:rPr>
      </w:pPr>
    </w:p>
    <w:p w14:paraId="55178F97" w14:textId="77777777" w:rsidR="000440A8" w:rsidRPr="009B7F09" w:rsidRDefault="000440A8">
      <w:pPr>
        <w:rPr>
          <w:rFonts w:ascii="Calibri Light" w:hAnsi="Calibri Light" w:cs="Calibri Light"/>
        </w:rPr>
      </w:pPr>
    </w:p>
    <w:p w14:paraId="03EC806E" w14:textId="77777777" w:rsidR="000440A8" w:rsidRPr="009B7F09" w:rsidRDefault="000440A8">
      <w:pPr>
        <w:rPr>
          <w:rFonts w:ascii="Calibri Light" w:hAnsi="Calibri Light" w:cs="Calibri Light"/>
        </w:rPr>
      </w:pPr>
    </w:p>
    <w:p w14:paraId="2307B702" w14:textId="77777777" w:rsidR="000440A8" w:rsidRPr="009B7F09" w:rsidRDefault="000440A8">
      <w:pPr>
        <w:rPr>
          <w:rFonts w:ascii="Calibri Light" w:hAnsi="Calibri Light" w:cs="Calibri Light"/>
        </w:rPr>
      </w:pPr>
    </w:p>
    <w:p w14:paraId="7A04804B" w14:textId="77777777" w:rsidR="000440A8" w:rsidRPr="009B7F09" w:rsidRDefault="000440A8">
      <w:pPr>
        <w:rPr>
          <w:rFonts w:ascii="Calibri Light" w:hAnsi="Calibri Light" w:cs="Calibri Light"/>
        </w:rPr>
      </w:pPr>
    </w:p>
    <w:p w14:paraId="19BAC2C5" w14:textId="77777777" w:rsidR="000440A8" w:rsidRPr="009B7F09" w:rsidRDefault="000440A8">
      <w:pPr>
        <w:rPr>
          <w:rFonts w:ascii="Calibri Light" w:hAnsi="Calibri Light" w:cs="Calibri Light"/>
        </w:rPr>
      </w:pPr>
    </w:p>
    <w:p w14:paraId="2CCECD6B" w14:textId="77777777" w:rsidR="000440A8" w:rsidRPr="009B7F09" w:rsidRDefault="000440A8">
      <w:pPr>
        <w:rPr>
          <w:rFonts w:ascii="Calibri Light" w:hAnsi="Calibri Light" w:cs="Calibri Light"/>
        </w:rPr>
      </w:pPr>
    </w:p>
    <w:p w14:paraId="14AB5126" w14:textId="77777777" w:rsidR="000440A8" w:rsidRPr="009B7F09" w:rsidRDefault="000440A8">
      <w:pPr>
        <w:rPr>
          <w:rFonts w:ascii="Calibri Light" w:hAnsi="Calibri Light" w:cs="Calibri Light"/>
        </w:rPr>
      </w:pPr>
    </w:p>
    <w:p w14:paraId="0B54D907" w14:textId="77777777" w:rsidR="000440A8" w:rsidRPr="009B7F09" w:rsidRDefault="000440A8">
      <w:pPr>
        <w:rPr>
          <w:rFonts w:ascii="Calibri Light" w:hAnsi="Calibri Light" w:cs="Calibri Light"/>
        </w:rPr>
      </w:pPr>
    </w:p>
    <w:p w14:paraId="51169A30" w14:textId="77777777" w:rsidR="000440A8" w:rsidRPr="009B7F09" w:rsidRDefault="000440A8">
      <w:pPr>
        <w:rPr>
          <w:rFonts w:ascii="Calibri Light" w:hAnsi="Calibri Light" w:cs="Calibri Light"/>
        </w:rPr>
      </w:pPr>
    </w:p>
    <w:p w14:paraId="6B260990" w14:textId="77777777" w:rsidR="000440A8" w:rsidRPr="009B7F09" w:rsidRDefault="000440A8">
      <w:pPr>
        <w:rPr>
          <w:rFonts w:ascii="Calibri Light" w:hAnsi="Calibri Light" w:cs="Calibri Light"/>
        </w:rPr>
      </w:pPr>
    </w:p>
    <w:p w14:paraId="2D49C942" w14:textId="77777777" w:rsidR="000440A8" w:rsidRPr="009B7F09" w:rsidRDefault="000440A8" w:rsidP="008C534D">
      <w:pPr>
        <w:rPr>
          <w:rFonts w:ascii="Calibri Light" w:hAnsi="Calibri Light" w:cs="Calibri Light"/>
        </w:rPr>
      </w:pPr>
    </w:p>
    <w:p w14:paraId="02BAAAD8" w14:textId="77777777" w:rsidR="000440A8" w:rsidRPr="00FA1EC6" w:rsidRDefault="000440A8" w:rsidP="008C534D">
      <w:pPr>
        <w:spacing w:before="80"/>
        <w:rPr>
          <w:rFonts w:ascii="Calibri Light" w:hAnsi="Calibri Light" w:cs="Calibri Light"/>
          <w:b/>
          <w:bCs/>
          <w:color w:val="1F3A93"/>
          <w:sz w:val="72"/>
          <w:szCs w:val="72"/>
        </w:rPr>
      </w:pPr>
      <w:r>
        <w:rPr>
          <w:rFonts w:ascii="Calibri Light" w:hAnsi="Calibri Light" w:cs="Calibri Light"/>
          <w:b/>
          <w:bCs/>
          <w:color w:val="1F3A93"/>
          <w:sz w:val="72"/>
          <w:szCs w:val="72"/>
        </w:rPr>
        <w:t>Term Sheet of [[</w:t>
      </w:r>
      <w:r>
        <w:rPr>
          <w:rFonts w:ascii="Calibri Light" w:hAnsi="Calibri Light" w:cs="Calibri Light"/>
          <w:b/>
          <w:bCs/>
          <w:i/>
          <w:iCs/>
          <w:color w:val="1F3A93"/>
          <w:sz w:val="72"/>
          <w:szCs w:val="72"/>
        </w:rPr>
        <w:t>FundN</w:t>
      </w:r>
      <w:r>
        <w:rPr>
          <w:rFonts w:ascii="Calibri Light" w:hAnsi="Calibri Light" w:cs="Calibri Light"/>
          <w:b/>
          <w:bCs/>
          <w:color w:val="1F3A93"/>
          <w:sz w:val="72"/>
          <w:szCs w:val="72"/>
        </w:rPr>
        <w:t>ame]]</w:t>
      </w:r>
    </w:p>
    <w:p w14:paraId="4E38C6FB" w14:textId="77777777" w:rsidR="000440A8" w:rsidRPr="00FA1EC6" w:rsidRDefault="000440A8" w:rsidP="008C534D">
      <w:pPr>
        <w:spacing w:before="80"/>
        <w:rPr>
          <w:rFonts w:ascii="Calibri Light" w:hAnsi="Calibri Light" w:cs="Calibri Light"/>
          <w:color w:val="1F3A93"/>
        </w:rPr>
      </w:pPr>
      <w:r>
        <w:rPr>
          <w:rFonts w:ascii="Calibri Light" w:hAnsi="Calibri Light" w:cs="Calibri Light"/>
          <w:b/>
          <w:bCs/>
          <w:color w:val="1F3A93"/>
          <w:sz w:val="72"/>
          <w:szCs w:val="72"/>
        </w:rPr>
        <w:t>(“Fund”)</w:t>
      </w:r>
    </w:p>
    <w:p w14:paraId="733672F5" w14:textId="77777777" w:rsidR="000440A8" w:rsidRPr="009B7F09" w:rsidRDefault="000440A8" w:rsidP="008C534D">
      <w:pPr>
        <w:rPr>
          <w:rFonts w:ascii="Calibri Light" w:hAnsi="Calibri Light" w:cs="Calibri Light"/>
        </w:rPr>
      </w:pPr>
    </w:p>
    <w:p w14:paraId="0AE527CE" w14:textId="77777777" w:rsidR="000440A8" w:rsidRDefault="000440A8" w:rsidP="008C534D">
      <w:pPr>
        <w:rPr>
          <w:rFonts w:ascii="Calibri Light" w:hAnsi="Calibri Light" w:cs="Calibri Light"/>
        </w:rPr>
      </w:pPr>
    </w:p>
    <w:p w14:paraId="1434B49F" w14:textId="77777777" w:rsidR="000F79D4" w:rsidRDefault="000F79D4" w:rsidP="000F79D4">
      <w:pPr>
        <w:spacing w:before="120" w:after="120"/>
        <w:jc w:val="center"/>
        <w:rPr>
          <w:rFonts w:ascii="Calibri Light" w:hAnsi="Calibri Light" w:cs="Calibri Light"/>
          <w:b/>
          <w:bCs/>
          <w:caps/>
          <w:color w:val="B5974A"/>
          <w:sz w:val="16"/>
          <w:szCs w:val="16"/>
        </w:rPr>
      </w:pPr>
      <w:r>
        <w:rPr>
          <w:rFonts w:ascii="Calibri Light" w:hAnsi="Calibri Light" w:cs="Calibri Light"/>
          <w:b/>
          <w:bCs/>
          <w:caps/>
          <w:color w:val="B5974A"/>
          <w:sz w:val="16"/>
          <w:szCs w:val="16"/>
        </w:rPr>
        <w:t>General Note</w:t>
      </w:r>
    </w:p>
    <w:p w14:paraId="450206BC" w14:textId="77777777" w:rsidR="000F79D4" w:rsidRPr="00FA1EC6" w:rsidRDefault="000F79D4" w:rsidP="000F79D4">
      <w:pPr>
        <w:jc w:val="center"/>
        <w:rPr>
          <w:rFonts w:ascii="Calibri Light" w:hAnsi="Calibri Light" w:cs="Calibri Light"/>
          <w:color w:val="1F3A93"/>
          <w:sz w:val="16"/>
          <w:szCs w:val="16"/>
        </w:rPr>
      </w:pPr>
      <w:r>
        <w:rPr>
          <w:rFonts w:ascii="Calibri Light" w:hAnsi="Calibri Light" w:cs="Calibri Light"/>
          <w:color w:val="1F3A93"/>
          <w:sz w:val="16"/>
          <w:szCs w:val="16"/>
        </w:rPr>
        <w:t>This Term Sheet is not a binding legal document and is subject to ongoing revision. It will be replaced by the definitive Fund Documents (as defined below) in any live transaction.</w:t>
      </w:r>
    </w:p>
    <w:p w14:paraId="79C9455E" w14:textId="77777777" w:rsidR="000F79D4" w:rsidRPr="00FA1EC6" w:rsidRDefault="000F79D4">
      <w:pPr>
        <w:rPr>
          <w:rFonts w:ascii="Calibri Light" w:hAnsi="Calibri Light" w:cs="Calibri Light"/>
          <w:color w:val="1F3A93"/>
        </w:rPr>
      </w:pPr>
    </w:p>
    <w:p w14:paraId="397716A4" w14:textId="77777777" w:rsidR="000440A8" w:rsidRPr="00FA1EC6" w:rsidRDefault="000440A8">
      <w:pPr>
        <w:rPr>
          <w:rFonts w:ascii="Calibri Light" w:hAnsi="Calibri Light" w:cs="Calibri Light"/>
          <w:color w:val="1F3A93"/>
        </w:rPr>
      </w:pPr>
      <w:r>
        <w:rPr>
          <w:rFonts w:ascii="Calibri Light" w:hAnsi="Calibri Light" w:cs="Calibri Light"/>
          <w:color w:val="1F3A93"/>
        </w:rPr>
        <w:br w:type="page"/>
      </w:r>
    </w:p>
    <w:p w14:paraId="28AC7635" w14:textId="77777777" w:rsidR="00950FF5" w:rsidRPr="00FA1EC6" w:rsidRDefault="000440A8" w:rsidP="00950FF5">
      <w:pPr>
        <w:spacing w:after="120" w:line="276" w:lineRule="auto"/>
        <w:jc w:val="both"/>
        <w:rPr>
          <w:rFonts w:ascii="Calibri Light" w:hAnsi="Calibri Light" w:cs="Calibri Light"/>
          <w:b/>
          <w:bCs/>
          <w:caps/>
          <w:color w:val="1F3A93"/>
          <w:sz w:val="20"/>
          <w:szCs w:val="20"/>
        </w:rPr>
      </w:pPr>
      <w:r>
        <w:rPr>
          <w:rFonts w:ascii="Calibri Light" w:hAnsi="Calibri Light" w:cs="Calibri Light"/>
          <w:b/>
          <w:bCs/>
          <w:caps/>
          <w:color w:val="1F3A93"/>
          <w:sz w:val="20"/>
          <w:szCs w:val="20"/>
        </w:rPr>
        <w:lastRenderedPageBreak/>
        <w:t>Disclaimer</w:t>
      </w:r>
    </w:p>
    <w:p w14:paraId="7B3FA6EB" w14:textId="77777777" w:rsidR="00950FF5" w:rsidRPr="00FA1EC6" w:rsidRDefault="00950FF5" w:rsidP="00950FF5">
      <w:pPr>
        <w:spacing w:before="120" w:after="120" w:line="280" w:lineRule="auto"/>
        <w:jc w:val="both"/>
        <w:rPr>
          <w:rFonts w:ascii="Calibri Light" w:hAnsi="Calibri Light" w:cs="Calibri Light"/>
          <w:color w:val="1F3A93"/>
        </w:rPr>
      </w:pPr>
      <w:r>
        <w:rPr>
          <w:rFonts w:ascii="Calibri Light" w:hAnsi="Calibri Light" w:cs="Calibri Light"/>
          <w:color w:val="1F3A93"/>
        </w:rPr>
        <w:t>This Term Sheet has been prepared by [[</w:t>
      </w:r>
      <w:r>
        <w:rPr>
          <w:rFonts w:ascii="Calibri Light" w:hAnsi="Calibri Light" w:cs="Calibri Light"/>
          <w:b/>
          <w:bCs/>
          <w:color w:val="1F3A93"/>
        </w:rPr>
        <w:t>GPN</w:t>
      </w:r>
      <w:r>
        <w:rPr>
          <w:rFonts w:ascii="Calibri Light" w:hAnsi="Calibri Light" w:cs="Calibri Light"/>
          <w:color w:val="1F3A93"/>
        </w:rPr>
        <w:t>ame]] (the "</w:t>
      </w:r>
      <w:r>
        <w:rPr>
          <w:rFonts w:ascii="Calibri Light" w:hAnsi="Calibri Light" w:cs="Calibri Light"/>
          <w:b/>
          <w:bCs/>
          <w:color w:val="1F3A93"/>
        </w:rPr>
        <w:t>General Partner</w:t>
      </w:r>
      <w:r>
        <w:rPr>
          <w:rFonts w:ascii="Calibri Light" w:hAnsi="Calibri Light" w:cs="Calibri Light"/>
          <w:color w:val="1F3A93"/>
        </w:rPr>
        <w:t>") solely for informational purposes in connection with [[</w:t>
      </w:r>
      <w:r>
        <w:rPr>
          <w:rFonts w:ascii="Calibri Light" w:hAnsi="Calibri Light" w:cs="Calibri Light"/>
          <w:b/>
          <w:bCs/>
          <w:color w:val="1F3A93"/>
        </w:rPr>
        <w:t>FundName</w:t>
      </w:r>
      <w:r>
        <w:rPr>
          <w:rFonts w:ascii="Calibri Light" w:hAnsi="Calibri Light" w:cs="Calibri Light"/>
          <w:color w:val="1F3A93"/>
        </w:rPr>
        <w:t>]] (the "Fund”).</w:t>
      </w:r>
    </w:p>
    <w:p w14:paraId="53F37324" w14:textId="77777777" w:rsidR="00950FF5" w:rsidRPr="00FA1EC6" w:rsidRDefault="00950FF5" w:rsidP="00950FF5">
      <w:pPr>
        <w:spacing w:before="120" w:after="120" w:line="280" w:lineRule="auto"/>
        <w:jc w:val="both"/>
        <w:rPr>
          <w:rFonts w:ascii="Calibri Light" w:hAnsi="Calibri Light" w:cs="Calibri Light"/>
          <w:color w:val="1F3A93"/>
        </w:rPr>
      </w:pPr>
      <w:r>
        <w:rPr>
          <w:rFonts w:ascii="Calibri Light" w:hAnsi="Calibri Light" w:cs="Calibri Light"/>
          <w:color w:val="1F3A93"/>
        </w:rPr>
        <w:t xml:space="preserve">This Term Sheet does not constitute, and should not be construed as, an offer to sell</w:t>
      </w:r>
      <w:r>
        <w:rPr>
          <w:rFonts w:ascii="Calibri Light" w:hAnsi="Calibri Light" w:cs="Calibri Light"/>
          <w:color w:val="1F3A93"/>
        </w:rPr>
        <w:t xml:space="preserve"> or a solicitation of an offer to buy interests in the Fund. To the extent that this Term Sheet constitutes pre-marketing within the meaning of Article 28-1 of the AIFM Law (transposing Article 30a of Directive 2011/61/EU, as amended by Directive (EU) 2019/1160), it does not constitute an offer or invitation to subscribe for interests in the Fund, and the information contained herein is incomplete and subject to change</w:t>
      </w:r>
      <w:r>
        <w:rPr>
          <w:rFonts w:ascii="Calibri Light" w:hAnsi="Calibri Light" w:cs="Calibri Light"/>
          <w:color w:val="1F3A93"/>
        </w:rPr>
        <w:t xml:space="preserve">. No action has been taken, nor will be taken, by the General Partner to permit the </w:t>
      </w:r>
      <w:r>
        <w:rPr>
          <w:rFonts w:ascii="Calibri Light" w:hAnsi="Calibri Light" w:cs="Calibri Light"/>
          <w:color w:val="1F3A93"/>
        </w:rPr>
        <w:t xml:space="preserve">public offering of interests in the Fund in Luxembourg or in any other jurisdiction. Offers will only be made through definitive offering materials in accordance with applicable laws.</w:t>
      </w:r>
    </w:p>
    <w:p w14:paraId="3D9509F7" w14:textId="77777777" w:rsidR="00950FF5" w:rsidRPr="00FA1EC6" w:rsidRDefault="00950FF5" w:rsidP="00950FF5">
      <w:pPr>
        <w:spacing w:before="120" w:after="120" w:line="280" w:lineRule="auto"/>
        <w:jc w:val="both"/>
        <w:rPr>
          <w:rFonts w:ascii="Calibri Light" w:hAnsi="Calibri Light" w:cs="Calibri Light"/>
          <w:b/>
          <w:bCs/>
          <w:i/>
          <w:iCs/>
          <w:color w:val="1F3A93"/>
        </w:rPr>
      </w:pPr>
      <w:r>
        <w:rPr>
          <w:rFonts w:ascii="Calibri Light" w:hAnsi="Calibri Light" w:cs="Calibri Light"/>
          <w:b/>
          <w:bCs/>
          <w:i/>
          <w:iCs/>
          <w:color w:val="1F3A93"/>
        </w:rPr>
        <w:t>[Include the following paragraph only where reverse solicitation can be factually substantiated for the specific recipient — delete entirely otherwise. Reverse solicitation is a factual defence that must be supported by contemporaneous evidence; it is not a drafting device.]</w:t>
      </w:r>
    </w:p>
    <w:p w14:paraId="19AC1310" w14:textId="77777777" w:rsidR="00950FF5" w:rsidRPr="00FA1EC6" w:rsidRDefault="00950FF5" w:rsidP="00950FF5">
      <w:pPr>
        <w:spacing w:before="120" w:after="120" w:line="280" w:lineRule="auto"/>
        <w:jc w:val="both"/>
        <w:rPr>
          <w:rFonts w:ascii="Calibri Light" w:hAnsi="Calibri Light" w:cs="Calibri Light"/>
          <w:color w:val="1F3A93"/>
        </w:rPr>
      </w:pPr>
      <w:r>
        <w:rPr>
          <w:rFonts w:ascii="Calibri Light" w:hAnsi="Calibri Light" w:cs="Calibri Light"/>
          <w:color w:val="1F3A93"/>
        </w:rPr>
        <w:t xml:space="preserve">This Term Sheet has been prepared in response to a specific, unsolicited request from the recipient, initiated solely at the recipient's initiative and without any prior contact, inducement, or promotion of any kind by or on behalf of the Fund, the General Partner, or any related party. </w:t>
      </w:r>
    </w:p>
    <w:p w14:paraId="7964077A" w14:textId="77777777" w:rsidR="00950FF5" w:rsidRPr="00FA1EC6" w:rsidRDefault="00950FF5" w:rsidP="00950FF5">
      <w:pPr>
        <w:spacing w:before="120" w:after="120" w:line="280" w:lineRule="auto"/>
        <w:jc w:val="both"/>
        <w:rPr>
          <w:rFonts w:ascii="Calibri Light" w:hAnsi="Calibri Light" w:cs="Calibri Light"/>
          <w:b/>
          <w:bCs/>
          <w:i/>
          <w:iCs/>
          <w:color w:val="1F3A93"/>
        </w:rPr>
      </w:pPr>
      <w:r>
        <w:rPr>
          <w:rFonts w:ascii="Calibri Light" w:hAnsi="Calibri Light" w:cs="Calibri Light"/>
          <w:b/>
          <w:bCs/>
          <w:i/>
          <w:iCs/>
          <w:color w:val="1F3A93"/>
        </w:rPr>
        <w:t>[If an NDA has been executed: This Term Sheet is provided strictly on a confidential basis, subject to the terms of the non-disclosure agreement entered into between the General Partner and the recipient (the "NDA"). / If no NDA: This Term Sheet is provided strictly on a confidential basis. Recipients are reminded that this Term Sheet is confidential and subject to the confidentiality obligations set out in the Fund Documents once executed.]</w:t>
      </w:r>
    </w:p>
    <w:p w14:paraId="0D7FDC25" w14:textId="77777777" w:rsidR="00950FF5" w:rsidRPr="00FA1EC6" w:rsidRDefault="00950FF5" w:rsidP="00950FF5">
      <w:pPr>
        <w:spacing w:before="120" w:after="120" w:line="280" w:lineRule="auto"/>
        <w:jc w:val="both"/>
        <w:rPr>
          <w:rFonts w:ascii="Calibri Light" w:hAnsi="Calibri Light" w:cs="Calibri Light"/>
          <w:color w:val="1F3A93"/>
        </w:rPr>
      </w:pPr>
      <w:r>
        <w:rPr>
          <w:rFonts w:ascii="Calibri Light" w:hAnsi="Calibri Light" w:cs="Calibri Light"/>
          <w:color w:val="1F3A93"/>
        </w:rPr>
        <w:t>This Term Sheet may not be reproduced, distributed, or disclosed, in whole or in part, to any third party [</w:t>
      </w:r>
      <w:r>
        <w:rPr>
          <w:rFonts w:ascii="Calibri Light" w:hAnsi="Calibri Light" w:cs="Calibri Light"/>
          <w:b/>
          <w:bCs/>
          <w:i/>
          <w:iCs/>
          <w:color w:val="1F3A93"/>
        </w:rPr>
        <w:t>without the prior written consent of the General Partner / except as permitted under the NDA — delete as applicable</w:t>
      </w:r>
      <w:r>
        <w:rPr>
          <w:rFonts w:ascii="Calibri Light" w:hAnsi="Calibri Light" w:cs="Calibri Light"/>
          <w:color w:val="1F3A93"/>
        </w:rPr>
        <w:t>].</w:t>
      </w:r>
    </w:p>
    <w:p w14:paraId="7D2D1EA0" w14:textId="77777777" w:rsidR="00950FF5" w:rsidRPr="00FA1EC6" w:rsidRDefault="00950FF5" w:rsidP="00950FF5">
      <w:pPr>
        <w:spacing w:before="120" w:after="120" w:line="280" w:lineRule="auto"/>
        <w:jc w:val="both"/>
        <w:rPr>
          <w:rFonts w:ascii="Calibri Light" w:hAnsi="Calibri Light" w:cs="Calibri Light"/>
          <w:color w:val="1F3A93"/>
        </w:rPr>
      </w:pPr>
      <w:r>
        <w:rPr>
          <w:rFonts w:ascii="Calibri Light" w:hAnsi="Calibri Light" w:cs="Calibri Light"/>
          <w:color w:val="1F3A93"/>
        </w:rPr>
        <w:t xml:space="preserve">This Term Sheet is provided for discussion purposes only. It is incomplete, indicative, and non-binding. It does not contain all information necessary to evaluate a potential investment in the Fund. The information herein is subject to change and will be superseded in all respects by the definitive provisions of the </w:t>
      </w:r>
      <w:r>
        <w:rPr>
          <w:rFonts w:ascii="Calibri Light" w:hAnsi="Calibri Light" w:cs="Calibri Light"/>
          <w:b/>
          <w:bCs/>
          <w:color w:val="1F3A93"/>
        </w:rPr>
        <w:t>Fund Documents</w:t>
      </w:r>
      <w:r>
        <w:rPr>
          <w:rFonts w:ascii="Calibri Light" w:hAnsi="Calibri Light" w:cs="Calibri Light"/>
          <w:color w:val="1F3A93"/>
        </w:rPr>
        <w:t xml:space="preserve"> (as defined below), which will be provided in due course to qualifying investors only.</w:t>
      </w:r>
    </w:p>
    <w:p w14:paraId="46FCE041" w14:textId="77777777" w:rsidR="00950FF5" w:rsidRPr="00FA1EC6" w:rsidRDefault="00950FF5" w:rsidP="00950FF5">
      <w:pPr>
        <w:spacing w:before="120" w:after="120" w:line="280" w:lineRule="auto"/>
        <w:jc w:val="both"/>
        <w:rPr>
          <w:rFonts w:ascii="Calibri Light" w:hAnsi="Calibri Light" w:cs="Calibri Light"/>
          <w:color w:val="1F3A93"/>
        </w:rPr>
      </w:pPr>
      <w:r>
        <w:rPr>
          <w:rFonts w:ascii="Calibri Light" w:hAnsi="Calibri Light" w:cs="Calibri Light"/>
          <w:color w:val="1F3A93"/>
        </w:rPr>
        <w:t>No reliance should be placed on the completeness or accuracy of the information herein for the purpose of making an investment decision. This Term Sheet does not constitute investment, legal, tax, accounting, regulatory, or other professional advice. The recipient is solely responsible for conducting its own independent due diligence and for obtaining its own legal, tax, regulatory, and financial advice.</w:t>
      </w:r>
    </w:p>
    <w:p w14:paraId="6E33E877" w14:textId="77777777" w:rsidR="00950FF5" w:rsidRPr="00FA1EC6" w:rsidRDefault="00950FF5" w:rsidP="00950FF5">
      <w:pPr>
        <w:spacing w:before="120" w:after="120" w:line="280" w:lineRule="auto"/>
        <w:jc w:val="both"/>
        <w:rPr>
          <w:rFonts w:ascii="Calibri Light" w:hAnsi="Calibri Light" w:cs="Calibri Light"/>
          <w:color w:val="1F3A93"/>
        </w:rPr>
      </w:pPr>
      <w:r>
        <w:rPr>
          <w:rFonts w:ascii="Calibri Light" w:hAnsi="Calibri Light" w:cs="Calibri Light"/>
          <w:color w:val="1F3A93"/>
        </w:rPr>
        <w:t>Any financial information, projections, target returns, or forward-looking statements contained in this Term Sheet are provided for illustrative purposes only. They are based on assumptions that may prove to be incorrect and are not guarantees of future performance. No representation or warranty, express or implied, is made as to their accuracy or completeness. Past performance is not indicative of future results.</w:t>
      </w:r>
    </w:p>
    <w:p w14:paraId="586A08AD" w14:textId="77777777" w:rsidR="00950FF5" w:rsidRPr="00FA1EC6" w:rsidRDefault="00950FF5" w:rsidP="00950FF5">
      <w:pPr>
        <w:spacing w:after="80" w:line="276" w:lineRule="auto"/>
        <w:jc w:val="both"/>
        <w:rPr>
          <w:color w:val="1F3A93"/>
        </w:rPr>
      </w:pPr>
      <w:r>
        <w:rPr>
          <w:color w:val="1F3A93"/>
          <w:sz w:val="16"/>
          <w:szCs w:val="16"/>
        </w:rPr>
        <w:t>[</w:t>
      </w:r>
      <w:r>
        <w:rPr>
          <w:rFonts w:ascii="Calibri Light" w:hAnsi="Calibri Light" w:cs="Calibri Light"/>
          <w:b/>
          <w:bCs/>
          <w:i/>
          <w:iCs/>
          <w:color w:val="1F3A93"/>
        </w:rPr>
        <w:t>If RAIF or SIF: Interests in the Fund may only be offered to, and acquired by, Well-Informed Investors within the meaning of Article 2 of [the RAIF Law / the SIF Law]. / If unregulated SCS/SCSp (sub-threshold): Interests in the Fund are offered exclusively to professional investors within the meaning of Annex II of Directive 2014/65/EU (MiFID II) and to such other qualifying investors as the General Partner may determine in its discretion — delete as applicable.]</w:t>
      </w:r>
    </w:p>
    <w:p w14:paraId="76DBC0F7" w14:textId="77777777" w:rsidR="00950FF5" w:rsidRPr="00FA1EC6" w:rsidRDefault="00950FF5" w:rsidP="00950FF5">
      <w:pPr>
        <w:spacing w:before="120" w:after="120" w:line="280" w:lineRule="auto"/>
        <w:jc w:val="both"/>
        <w:rPr>
          <w:rFonts w:ascii="Calibri Light" w:hAnsi="Calibri Light" w:cs="Calibri Light"/>
          <w:color w:val="1F3A93"/>
        </w:rPr>
      </w:pPr>
      <w:r>
        <w:rPr>
          <w:rFonts w:ascii="Calibri Light" w:hAnsi="Calibri Light" w:cs="Calibri Light"/>
          <w:color w:val="1F3A93"/>
        </w:rPr>
        <w:t>Interests in the Fund have not been and will not be registered under the US Securities Act of 1933, as amended, or any US state securities laws. The Fund has not been and will not be registered under the US Investment Company Act of 1940, as amended. Interests may not be offered, sold, or delivered, directly or indirectly, in the United States or to or for the account or benefit of US Persons. [Notwithstanding the foregoing, Interests may be offered in the United States only to persons who are [accredited investors] [and qualified purchasers], in reliance on exemptions from registration under the US Securities Act and the US Investment Company Act.]</w:t>
      </w:r>
    </w:p>
    <w:p w14:paraId="6786C80D" w14:textId="77777777" w:rsidR="00950FF5" w:rsidRPr="00FA1EC6" w:rsidRDefault="00950FF5" w:rsidP="005F01A8">
      <w:pPr>
        <w:spacing w:before="120" w:after="120" w:line="280" w:lineRule="auto"/>
        <w:jc w:val="both"/>
        <w:rPr>
          <w:rFonts w:ascii="Calibri Light" w:hAnsi="Calibri Light" w:cs="Calibri Light"/>
          <w:color w:val="1F3A93"/>
        </w:rPr>
      </w:pPr>
      <w:r>
        <w:rPr>
          <w:rFonts w:ascii="Calibri Light" w:hAnsi="Calibri Light" w:cs="Calibri Light"/>
          <w:color w:val="1F3A93"/>
        </w:rPr>
        <w:t>Please note all definitions used in this Term Sheet are listed at the end thereof.</w:t>
      </w:r>
    </w:p>
    <w:p w14:paraId="38B59289" w14:textId="77777777" w:rsidR="00950FF5" w:rsidRDefault="00950FF5" w:rsidP="005F01A8">
      <w:pPr>
        <w:spacing w:before="120" w:after="120" w:line="280" w:lineRule="auto"/>
        <w:jc w:val="both"/>
        <w:rPr>
          <w:rFonts w:ascii="Calibri Light" w:hAnsi="Calibri Light" w:cs="Calibri Light"/>
        </w:rPr>
      </w:pPr>
    </w:p>
    <w:p w14:paraId="28C35641" w14:textId="77777777" w:rsidR="00950FF5" w:rsidRPr="009B7F09" w:rsidRDefault="00950FF5" w:rsidP="005F01A8">
      <w:pPr>
        <w:spacing w:before="120" w:after="120" w:line="280" w:lineRule="auto"/>
        <w:jc w:val="both"/>
        <w:rPr>
          <w:rFonts w:ascii="Calibri Light" w:hAnsi="Calibri Light" w:cs="Calibri Light"/>
        </w:rPr>
      </w:pPr>
    </w:p>
    <w:p w14:paraId="68D0D633" w14:textId="77777777" w:rsidR="00A1032E" w:rsidRPr="009B7F09" w:rsidRDefault="00A1032E" w:rsidP="005F01A8">
      <w:pPr>
        <w:spacing w:before="120" w:after="120"/>
        <w:rPr>
          <w:rFonts w:ascii="Calibri Light" w:hAnsi="Calibri Light" w:cs="Calibri Light"/>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4200"/>
        <w:gridCol w:w="3260"/>
      </w:tblGrid>
      <w:tr w:rsidR="00A1032E" w:rsidRPr="009B7F09" w14:paraId="23AEEBDC" w14:textId="77777777" w:rsidTr="479FEC54">
        <w:tc>
          <w:tcPr>
            <w:tcW w:w="0" w:type="auto"/>
            <w:gridSpan w:val="3"/>
            <w:tcBorders>
              <w:top w:val="single" w:sz="6" w:space="0" w:color="0D2240"/>
              <w:left w:val="single" w:sz="6" w:space="0" w:color="0D2240"/>
              <w:bottom w:val="single" w:sz="6" w:space="0" w:color="0D2240"/>
              <w:right w:val="single" w:sz="6" w:space="0" w:color="0D2240"/>
            </w:tcBorders>
            <w:shd w:val="clear" w:color="auto" w:fill="1F3A93"/>
            <w:tcMar>
              <w:top w:w="100" w:type="dxa"/>
              <w:left w:w="180" w:type="dxa"/>
              <w:bottom w:w="100" w:type="dxa"/>
              <w:right w:w="180" w:type="dxa"/>
            </w:tcMar>
          </w:tcPr>
          <w:p w14:paraId="2EB65385" w14:textId="77777777" w:rsidR="00A1032E" w:rsidRPr="009B7F09" w:rsidRDefault="006A7509" w:rsidP="005F01A8">
            <w:pPr>
              <w:spacing w:before="120" w:after="120"/>
              <w:rPr>
                <w:rFonts w:ascii="Calibri Light" w:hAnsi="Calibri Light" w:cs="Calibri Light"/>
              </w:rPr>
            </w:pPr>
            <w:r>
              <w:rPr>
                <w:rFonts w:ascii="Calibri Light" w:hAnsi="Calibri Light" w:cs="Calibri Light"/>
                <w:b/>
                <w:bCs/>
                <w:color w:val="FFFFFF"/>
                <w:sz w:val="20"/>
                <w:szCs w:val="20"/>
              </w:rPr>
              <w:lastRenderedPageBreak/>
              <w:t>I.   THE FUND</w:t>
            </w:r>
          </w:p>
        </w:tc>
      </w:tr>
      <w:tr w:rsidR="00A1032E" w:rsidRPr="009B7F09" w14:paraId="6560A863"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089B28E6" w14:textId="77777777" w:rsidR="00A1032E" w:rsidRPr="00762ADE" w:rsidRDefault="006A7509" w:rsidP="005F01A8">
            <w:pPr>
              <w:spacing w:before="120" w:after="120"/>
              <w:rPr>
                <w:rFonts w:ascii="Calibri Light" w:hAnsi="Calibri Light" w:cs="Calibri Light"/>
                <w:color w:val="1F3A93"/>
              </w:rPr>
            </w:pPr>
            <w:r>
              <w:rPr>
                <w:rFonts w:ascii="Calibri Light" w:hAnsi="Calibri Light" w:cs="Calibri Light"/>
                <w:b/>
                <w:bCs/>
                <w:color w:val="1F3A93"/>
              </w:rPr>
              <w:t>Fund Name &amp; Structure</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437CA817" w14:textId="77777777" w:rsidR="00A1032E" w:rsidRPr="00762ADE" w:rsidRDefault="006A7509" w:rsidP="008C534D">
            <w:pPr>
              <w:spacing w:before="120" w:after="120"/>
              <w:jc w:val="both"/>
              <w:rPr>
                <w:rFonts w:ascii="Calibri Light" w:hAnsi="Calibri Light" w:cs="Calibri Light"/>
                <w:color w:val="1F3A93"/>
              </w:rPr>
            </w:pPr>
            <w:r>
              <w:rPr>
                <w:rFonts w:ascii="Calibri Light" w:hAnsi="Calibri Light" w:cs="Calibri Light"/>
                <w:b/>
                <w:bCs/>
                <w:color w:val="1F3A93"/>
              </w:rPr>
              <w:t>[[FundName]</w:t>
            </w:r>
            <w:r>
              <w:rPr>
                <w:rFonts w:ascii="Calibri Light" w:hAnsi="Calibri Light" w:cs="Calibri Light"/>
                <w:color w:val="1F3A93"/>
              </w:rPr>
              <w:t xml:space="preserve">], a Luxembourg </w:t>
            </w:r>
            <w:r>
              <w:rPr>
                <w:rFonts w:ascii="Calibri Light" w:hAnsi="Calibri Light" w:cs="Calibri Light"/>
                <w:b/>
                <w:bCs/>
                <w:color w:val="1F3A93"/>
              </w:rPr>
              <w:t>[[FundLegalFormAndRegime]</w:t>
            </w:r>
            <w:r>
              <w:rPr>
                <w:rFonts w:ascii="Calibri Light" w:hAnsi="Calibri Light" w:cs="Calibri Light"/>
                <w:color w:val="1F3A93"/>
              </w:rPr>
              <w:t>] (the "</w:t>
            </w:r>
            <w:r>
              <w:rPr>
                <w:rFonts w:ascii="Calibri Light" w:hAnsi="Calibri Light" w:cs="Calibri Light"/>
                <w:b/>
                <w:bCs/>
                <w:color w:val="1F3A93"/>
              </w:rPr>
              <w:t>Fund</w:t>
            </w:r>
            <w:r>
              <w:rPr>
                <w:rFonts w:ascii="Calibri Light" w:hAnsi="Calibri Light" w:cs="Calibri Light"/>
                <w:color w:val="1F3A93"/>
              </w:rPr>
              <w:t>").</w:t>
            </w:r>
          </w:p>
          <w:p w14:paraId="20495E76" w14:textId="77777777" w:rsidR="00FE3A57" w:rsidRPr="00762ADE" w:rsidRDefault="00FE3A57" w:rsidP="008C534D">
            <w:pPr>
              <w:spacing w:before="120" w:after="120"/>
              <w:jc w:val="both"/>
              <w:rPr>
                <w:rFonts w:ascii="Calibri Light" w:hAnsi="Calibri Light" w:cs="Calibri Light"/>
                <w:color w:val="1F3A93"/>
              </w:rPr>
            </w:pPr>
            <w:r>
              <w:rPr>
                <w:rFonts w:ascii="Calibri Light" w:hAnsi="Calibri Light" w:cs="Calibri Light"/>
                <w:color w:val="1F3A93"/>
              </w:rPr>
              <w:t>With respect to the structure select one option below and delete the others.</w:t>
            </w:r>
          </w:p>
          <w:p w14:paraId="39B9A21E" w14:textId="77777777" w:rsidR="00FE3A57" w:rsidRPr="00762ADE" w:rsidRDefault="00FE3A57" w:rsidP="6FA2409C">
            <w:pPr>
              <w:spacing w:before="120" w:after="120"/>
              <w:jc w:val="both"/>
              <w:rPr>
                <w:rFonts w:ascii="Calibri Light" w:hAnsi="Calibri Light" w:cs="Calibri Light"/>
                <w:color w:val="1F3A93"/>
              </w:rPr>
            </w:pPr>
            <w:r>
              <w:rPr>
                <w:rFonts w:ascii="Calibri Light" w:hAnsi="Calibri Light" w:cs="Calibri Light"/>
                <w:b/>
                <w:bCs/>
                <w:color w:val="1F3A93"/>
              </w:rPr>
              <w:t>Option 1 — Unregulated SCS/SCSp (sub-threshold)</w:t>
            </w:r>
          </w:p>
          <w:p w14:paraId="218D3D28" w14:textId="77777777" w:rsidR="00FE3A57" w:rsidRPr="00762ADE" w:rsidRDefault="00FE3A57" w:rsidP="6FA2409C">
            <w:pPr>
              <w:spacing w:before="120" w:after="120"/>
              <w:jc w:val="both"/>
              <w:rPr>
                <w:rFonts w:ascii="Calibri Light" w:hAnsi="Calibri Light" w:cs="Calibri Light"/>
                <w:color w:val="1F3A93"/>
              </w:rPr>
            </w:pPr>
            <w:r>
              <w:rPr>
                <w:rFonts w:ascii="Calibri Light" w:hAnsi="Calibri Light" w:cs="Calibri Light"/>
                <w:color w:val="1F3A93"/>
              </w:rPr>
              <w:t>The Fund is established as a [common limited partnership (société en commandite simple — SCS) / special limited partnership (</w:t>
            </w:r>
            <w:r>
              <w:rPr>
                <w:rFonts w:ascii="Calibri Light" w:hAnsi="Calibri Light" w:cs="Calibri Light"/>
                <w:i/>
                <w:iCs/>
                <w:color w:val="1F3A93"/>
              </w:rPr>
              <w:t>société en commandite spéciale — SCSp</w:t>
            </w:r>
            <w:r>
              <w:rPr>
                <w:rFonts w:ascii="Calibri Light" w:hAnsi="Calibri Light" w:cs="Calibri Light"/>
                <w:color w:val="1F3A93"/>
              </w:rPr>
              <w:t>)] under the laws of the Grand Duchy of Luxembourg.</w:t>
            </w:r>
          </w:p>
          <w:p w14:paraId="426FDC5B" w14:textId="77777777" w:rsidR="00FE3A57" w:rsidRPr="00762ADE" w:rsidRDefault="00FE3A57" w:rsidP="6FA2409C">
            <w:pPr>
              <w:spacing w:before="120" w:after="120"/>
              <w:jc w:val="both"/>
              <w:rPr>
                <w:rFonts w:ascii="Calibri Light" w:hAnsi="Calibri Light" w:cs="Calibri Light"/>
                <w:color w:val="1F3A93"/>
              </w:rPr>
            </w:pPr>
            <w:r>
              <w:rPr>
                <w:rFonts w:ascii="Calibri Light" w:hAnsi="Calibri Light" w:cs="Calibri Light"/>
                <w:b/>
                <w:bCs/>
                <w:color w:val="1F3A93"/>
              </w:rPr>
              <w:t>Option 2 — SICAV-SIF (investment company with variable capital — specialised investment fund, formed as an SCS/SCSp)</w:t>
            </w:r>
          </w:p>
          <w:p w14:paraId="58656B12" w14:textId="77777777" w:rsidR="00FE3A57" w:rsidRPr="00762ADE" w:rsidRDefault="00FE3A57" w:rsidP="008C534D">
            <w:pPr>
              <w:spacing w:before="120" w:after="120"/>
              <w:jc w:val="both"/>
              <w:rPr>
                <w:rFonts w:ascii="Calibri Light" w:hAnsi="Calibri Light" w:cs="Calibri Light"/>
                <w:color w:val="1F3A93"/>
              </w:rPr>
            </w:pPr>
            <w:r>
              <w:rPr>
                <w:rFonts w:ascii="Calibri Light" w:hAnsi="Calibri Light" w:cs="Calibri Light"/>
                <w:color w:val="1F3A93"/>
              </w:rPr>
              <w:t>The Fund is established as an investment company with variable capital — specialised investment fund (</w:t>
            </w:r>
            <w:r>
              <w:rPr>
                <w:rFonts w:ascii="Calibri Light" w:hAnsi="Calibri Light" w:cs="Calibri Light"/>
                <w:i/>
                <w:iCs/>
                <w:color w:val="1F3A93"/>
              </w:rPr>
              <w:t>société d’investissement à capital variable — fonds d’investissement spécialisé</w:t>
            </w:r>
            <w:r>
              <w:rPr>
                <w:rFonts w:ascii="Calibri Light" w:hAnsi="Calibri Light" w:cs="Calibri Light"/>
                <w:color w:val="1F3A93"/>
              </w:rPr>
              <w:t xml:space="preserve"> — SICAV-SIF) formed as a [common limited partnership (société en commandite simple — SCS) / special limited partnership (</w:t>
            </w:r>
            <w:r>
              <w:rPr>
                <w:rFonts w:ascii="Calibri Light" w:hAnsi="Calibri Light" w:cs="Calibri Light"/>
                <w:i/>
                <w:iCs/>
                <w:color w:val="1F3A93"/>
              </w:rPr>
              <w:t>société en commandite spéciale</w:t>
            </w:r>
            <w:r>
              <w:rPr>
                <w:rFonts w:ascii="Calibri Light" w:hAnsi="Calibri Light" w:cs="Calibri Light"/>
                <w:color w:val="1F3A93"/>
              </w:rPr>
              <w:t xml:space="preserve"> — SCSp)] under the laws of the Grand Duchy of Luxembourg.</w:t>
            </w:r>
          </w:p>
          <w:p w14:paraId="45C96D7A" w14:textId="77777777" w:rsidR="00FE3A57" w:rsidRPr="00762ADE" w:rsidRDefault="00FE3A57" w:rsidP="008C534D">
            <w:pPr>
              <w:spacing w:before="120" w:after="120"/>
              <w:jc w:val="both"/>
              <w:rPr>
                <w:rFonts w:ascii="Calibri Light" w:hAnsi="Calibri Light" w:cs="Calibri Light"/>
                <w:color w:val="1F3A93"/>
              </w:rPr>
            </w:pPr>
            <w:r>
              <w:rPr>
                <w:rFonts w:ascii="Calibri Light" w:hAnsi="Calibri Light" w:cs="Calibri Light"/>
                <w:b/>
                <w:color w:val="1F3A93"/>
              </w:rPr>
              <w:t>Option 3 — SICAV-RAIF (investment company with variable capital — reserved alternative investment fund, formed as an SCS/SCSp)</w:t>
            </w:r>
          </w:p>
          <w:p w14:paraId="5B79B64A" w14:textId="77777777" w:rsidR="003D5E9B" w:rsidRPr="00762ADE" w:rsidRDefault="00FE3A57" w:rsidP="008C534D">
            <w:pPr>
              <w:spacing w:before="120" w:after="120"/>
              <w:jc w:val="both"/>
              <w:rPr>
                <w:rFonts w:ascii="Calibri Light" w:hAnsi="Calibri Light" w:cs="Calibri Light"/>
                <w:color w:val="1F3A93"/>
              </w:rPr>
            </w:pPr>
            <w:r>
              <w:rPr>
                <w:rFonts w:ascii="Calibri Light" w:hAnsi="Calibri Light" w:cs="Calibri Light"/>
                <w:color w:val="1F3A93"/>
              </w:rPr>
              <w:t>The Fund is established as an investment company with variable capital — reserved alternative investment fund (</w:t>
            </w:r>
            <w:r>
              <w:rPr>
                <w:rFonts w:ascii="Calibri Light" w:hAnsi="Calibri Light" w:cs="Calibri Light"/>
                <w:i/>
                <w:iCs/>
                <w:color w:val="1F3A93"/>
              </w:rPr>
              <w:t>société d’investissement à capital variable</w:t>
            </w:r>
            <w:r>
              <w:rPr>
                <w:rFonts w:ascii="Calibri Light" w:hAnsi="Calibri Light" w:cs="Calibri Light"/>
                <w:color w:val="1F3A93"/>
              </w:rPr>
              <w:t xml:space="preserve"> — </w:t>
            </w:r>
            <w:r>
              <w:rPr>
                <w:rFonts w:ascii="Calibri Light" w:hAnsi="Calibri Light" w:cs="Calibri Light"/>
                <w:i/>
                <w:iCs/>
                <w:color w:val="1F3A93"/>
              </w:rPr>
              <w:t>fonds d’investissement alternatif réservé</w:t>
            </w:r>
            <w:r>
              <w:rPr>
                <w:rFonts w:ascii="Calibri Light" w:hAnsi="Calibri Light" w:cs="Calibri Light"/>
                <w:color w:val="1F3A93"/>
              </w:rPr>
              <w:t xml:space="preserve"> — SICAV-RAIF) formed as a [common limited partnership (société en commandite simple — SCS) / special limited partnership (</w:t>
            </w:r>
            <w:r>
              <w:rPr>
                <w:rFonts w:ascii="Calibri Light" w:hAnsi="Calibri Light" w:cs="Calibri Light"/>
                <w:i/>
                <w:iCs/>
                <w:color w:val="1F3A93"/>
              </w:rPr>
              <w:t>société en commandite spéciale</w:t>
            </w:r>
            <w:r>
              <w:rPr>
                <w:rFonts w:ascii="Calibri Light" w:hAnsi="Calibri Light" w:cs="Calibri Light"/>
                <w:color w:val="1F3A93"/>
              </w:rPr>
              <w:t xml:space="preserve"> — SCSp)] under the laws of the Grand Duchy of Luxembourg.</w:t>
            </w:r>
          </w:p>
          <w:p w14:paraId="67530DF8" w14:textId="77777777" w:rsidR="00CC4646" w:rsidRPr="00762ADE" w:rsidRDefault="00CC4646" w:rsidP="6FA2409C">
            <w:pPr>
              <w:spacing w:before="120" w:after="120"/>
              <w:jc w:val="both"/>
              <w:rPr>
                <w:rFonts w:ascii="Calibri Light" w:hAnsi="Calibri Light" w:cs="Calibri Light"/>
                <w:b/>
                <w:bCs/>
                <w:color w:val="1F3A93"/>
              </w:rPr>
            </w:pPr>
            <w:r>
              <w:rPr>
                <w:rFonts w:ascii="Calibri Light" w:hAnsi="Calibri Light" w:cs="Calibri Light"/>
                <w:b/>
                <w:bCs/>
                <w:color w:val="1F3A93"/>
              </w:rPr>
              <w:t>Option 4 —  SCS/SCSp SIF or SCS/SCSp RAIF (non-SICAV)</w:t>
            </w:r>
          </w:p>
          <w:p w14:paraId="784BE22B" w14:textId="77777777" w:rsidR="00CC4646" w:rsidRPr="00762ADE" w:rsidRDefault="00CC4646" w:rsidP="6FA2409C">
            <w:pPr>
              <w:spacing w:before="120" w:after="120"/>
              <w:jc w:val="both"/>
              <w:rPr>
                <w:rFonts w:ascii="Calibri Light" w:hAnsi="Calibri Light" w:cs="Calibri Light"/>
                <w:color w:val="1F3A93"/>
              </w:rPr>
            </w:pPr>
            <w:r>
              <w:rPr>
                <w:rFonts w:ascii="Calibri Light" w:hAnsi="Calibri Light" w:cs="Calibri Light"/>
                <w:color w:val="1F3A93"/>
              </w:rPr>
              <w:t>The Fund is established as a [common limited partnership (société en commandite simple — SCS) / special limited partnership (</w:t>
            </w:r>
            <w:r>
              <w:rPr>
                <w:rFonts w:ascii="Calibri Light" w:hAnsi="Calibri Light" w:cs="Calibri Light"/>
                <w:i/>
                <w:iCs/>
                <w:color w:val="1F3A93"/>
              </w:rPr>
              <w:t>société en commandite spéciale — SCSp</w:t>
            </w:r>
            <w:r>
              <w:rPr>
                <w:rFonts w:ascii="Calibri Light" w:hAnsi="Calibri Light" w:cs="Calibri Light"/>
                <w:color w:val="1F3A93"/>
              </w:rPr>
              <w:t>)] qualifying as a [specialised investment fund (fonds d’investissement spécialisé) / reserved alternative investment fund (</w:t>
            </w:r>
            <w:r>
              <w:rPr>
                <w:rFonts w:ascii="Calibri Light" w:hAnsi="Calibri Light" w:cs="Calibri Light"/>
                <w:i/>
                <w:iCs/>
                <w:color w:val="1F3A93"/>
              </w:rPr>
              <w:t>fonds d’investissement alternatif réservé</w:t>
            </w:r>
            <w:r>
              <w:rPr>
                <w:rFonts w:ascii="Calibri Light" w:hAnsi="Calibri Light" w:cs="Calibri Light"/>
                <w:color w:val="1F3A93"/>
              </w:rPr>
              <w:t>)] under the laws of the Grand Duchy of Luxembourg (the “</w:t>
            </w:r>
            <w:r>
              <w:rPr>
                <w:rFonts w:ascii="Calibri Light" w:hAnsi="Calibri Light" w:cs="Calibri Light"/>
                <w:b/>
                <w:bCs/>
                <w:color w:val="1F3A93"/>
              </w:rPr>
              <w:t>[SCS/SCSp]-[SIF/RAIF]</w:t>
            </w:r>
            <w:r>
              <w:rPr>
                <w:rFonts w:ascii="Calibri Light" w:hAnsi="Calibri Light" w:cs="Calibri Light"/>
                <w:color w:val="1F3A93"/>
              </w:rPr>
              <w:t>”).</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12308E39" w14:textId="77777777" w:rsidR="00A1032E" w:rsidRPr="00762ADE" w:rsidRDefault="006A7509"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Insert the full legal name of the Fund as it will appear in the constitutive documents and regulatory filings.</w:t>
            </w:r>
          </w:p>
          <w:p w14:paraId="6BCCEB42" w14:textId="77777777" w:rsidR="00A1032E" w:rsidRPr="00762ADE" w:rsidRDefault="006A7509"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The legal form and regime must be specified. The chosen structure determines the governing law, regulatory obligations, and available investor base.</w:t>
            </w:r>
          </w:p>
          <w:p w14:paraId="2F6A38EA" w14:textId="77777777" w:rsidR="00FE3A57" w:rsidRPr="00762ADE" w:rsidRDefault="00FE3A57"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Select the option matching the chosen legal form and regime and delete all others. Each option is self-contained and drafted for direct use; within each option, keep the bracketed SCS or SCSp wording as applicable and delete the other. Please note that the drafting options in this Term Sheet are provided for the société en commandite simple (SCS) and the société en commandite spéciale (SCSp) only. They should not be used for any other corporate or partnership form available under Luxembourg law.</w:t>
            </w:r>
          </w:p>
          <w:p w14:paraId="19163F41" w14:textId="77777777" w:rsidR="00FE3A57" w:rsidRPr="00911F9A" w:rsidRDefault="00FE3A57"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SCSp</w:t>
            </w:r>
            <w:r>
              <w:rPr>
                <w:rFonts w:ascii="Calibri Light" w:hAnsi="Calibri Light" w:cs="Calibri Light"/>
                <w:i/>
                <w:iCs/>
                <w:color w:val="1F3A93"/>
                <w:sz w:val="16"/>
                <w:szCs w:val="16"/>
              </w:rPr>
              <w:t>: no legal personality; tax transparent; GP has unlimited liability; LPs limited to commitment; governed by LPA. Suitable for closed-ended private equity, real estate and private credit strategies. May operate as RAIF, sub-threshold unregulated fund, or (with CSSF approval) as a SIF. SCS: same contractual flexibility and partnership regime (Articles 310-1 to 310-7 of the 1915 Law), but the SCS has legal personality distinct from that of its partners (Article 100-2 of the 1915 Law), whereas the SCSp has none (Article 320-1(2) of the 1915 Law); an SCS therefore holds its assets and contracts in its own name.</w:t>
            </w:r>
          </w:p>
          <w:p w14:paraId="058556B7" w14:textId="77777777" w:rsidR="00FE3A57" w:rsidRPr="00762ADE" w:rsidRDefault="00FE3A57" w:rsidP="008C534D">
            <w:pPr>
              <w:spacing w:before="120" w:after="120"/>
              <w:jc w:val="both"/>
              <w:rPr>
                <w:rFonts w:ascii="Calibri Light" w:hAnsi="Calibri Light" w:cs="Calibri Light"/>
                <w:color w:val="1F3A93"/>
              </w:rPr>
            </w:pPr>
            <w:r>
              <w:rPr>
                <w:rFonts w:ascii="Calibri Light" w:hAnsi="Calibri Light" w:cs="Calibri Light"/>
                <w:b/>
                <w:bCs/>
                <w:i/>
                <w:iCs/>
                <w:color w:val="1F3A93"/>
                <w:sz w:val="16"/>
                <w:szCs w:val="16"/>
              </w:rPr>
              <w:t>SICAV-SIF</w:t>
            </w:r>
            <w:r>
              <w:rPr>
                <w:rFonts w:ascii="Calibri Light" w:hAnsi="Calibri Light" w:cs="Calibri Light"/>
                <w:i/>
                <w:iCs/>
                <w:color w:val="1F3A93"/>
                <w:sz w:val="16"/>
                <w:szCs w:val="16"/>
              </w:rPr>
              <w:t>: CSSF-authorised product under the SIF Law; subject to ongoing CSSF product supervision (slower to market than RAIF, the timetable depending on the CSSF authorisation process); eligible investors are Well-Informed Investors under Article 2 of the SIF Law; investment diversification requirements apply (50% single-asset cap, subject to ramp-up); no mandatory AIFM if below AIFMD thresholds, but AIFM appointment is common. Carries the CSSF approval imprimatur, which may be relevant for certain categories of investors.</w:t>
            </w:r>
          </w:p>
          <w:p w14:paraId="675C6380" w14:textId="77777777" w:rsidR="00FE3A57" w:rsidRPr="00762ADE" w:rsidRDefault="00FE3A57"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SICAV-RAIF</w:t>
            </w:r>
            <w:r>
              <w:rPr>
                <w:rFonts w:ascii="Calibri Light" w:hAnsi="Calibri Light" w:cs="Calibri Light"/>
                <w:i/>
                <w:iCs/>
                <w:color w:val="1F3A93"/>
                <w:sz w:val="16"/>
                <w:szCs w:val="16"/>
              </w:rPr>
              <w:t xml:space="preserve">: fastest to market (no CSSF product approval); requires an authorised external AIFM (Article 4 of the RAIF Law); eligible investors are Well-Informed Investors under Article 2 of the RAIF Law (EUR 100,000 minimum or professional/institutional status); may elect </w:t>
            </w:r>
            <w:r>
              <w:rPr>
                <w:rFonts w:ascii="Calibri Light" w:hAnsi="Calibri Light" w:cs="Calibri Light"/>
                <w:b/>
                <w:bCs/>
                <w:i/>
                <w:iCs/>
                <w:color w:val="1F3A93"/>
                <w:sz w:val="16"/>
                <w:szCs w:val="16"/>
              </w:rPr>
              <w:t>SIF-like</w:t>
            </w:r>
            <w:r>
              <w:rPr>
                <w:rFonts w:ascii="Calibri Light" w:hAnsi="Calibri Light" w:cs="Calibri Light"/>
                <w:i/>
                <w:iCs/>
                <w:color w:val="1F3A93"/>
                <w:sz w:val="16"/>
                <w:szCs w:val="16"/>
              </w:rPr>
              <w:t xml:space="preserve"> (50% diversification cap) or </w:t>
            </w:r>
            <w:r>
              <w:rPr>
                <w:rFonts w:ascii="Calibri Light" w:hAnsi="Calibri Light" w:cs="Calibri Light"/>
                <w:b/>
                <w:bCs/>
                <w:i/>
                <w:iCs/>
                <w:color w:val="1F3A93"/>
                <w:sz w:val="16"/>
                <w:szCs w:val="16"/>
              </w:rPr>
              <w:t>SICAR-like</w:t>
            </w:r>
            <w:r>
              <w:rPr>
                <w:rFonts w:ascii="Calibri Light" w:hAnsi="Calibri Light" w:cs="Calibri Light"/>
                <w:i/>
                <w:iCs/>
                <w:color w:val="1F3A93"/>
                <w:sz w:val="16"/>
                <w:szCs w:val="16"/>
              </w:rPr>
              <w:t xml:space="preserve"> (no diversification requirement, risk capital investments only) restrictions in the LPA/PPM. The name of the Fund must be completed by the words "investment company with variable capital-reserved alternative investment fund" or "SICAV-RAIF" (Article 30 of the RAIF Law); for a SICAV-SIF, by "SICAV-FIS"/"SICAV-SIF" (Article 32 of the SIF Law). For a SICAV (Options 2 and 3), the capital must be entirely subscribed and at least 5% of the subscription amount paid up (Article 26(3) of the RAIF Law; Article 28(3) of </w:t>
            </w:r>
            <w:r>
              <w:rPr>
                <w:rFonts w:ascii="Calibri Light" w:hAnsi="Calibri Light" w:cs="Calibri Light"/>
                <w:i/>
                <w:iCs/>
                <w:color w:val="1F3A93"/>
                <w:sz w:val="16"/>
                <w:szCs w:val="16"/>
              </w:rPr>
              <w:t>the SIF Law). For a non-SICAV SIF or RAIF (Option 4), the name of the Fund is completed by the words "specialised investment fund" or "FIS" (Article 40(3) of the SIF Law) or "reserved alternative investment fund" or "RAIF" (Article 33(3) of the RAIF Law), and the 5% paid-up requirement does not apply to an SCS or SCSp: Article 39(6) of the SIF Law and Article 32(6) of the RAIF Law limit it to funds formed as a société anonyme, société en commandite par actions or société à responsabilité limitée.</w:t>
            </w:r>
          </w:p>
          <w:p w14:paraId="5E62081B" w14:textId="77777777" w:rsidR="00890159" w:rsidRPr="00762ADE" w:rsidRDefault="00890159"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The non-SICAV SCS/SCSp SIF or RAIF (Option 4)</w:t>
            </w:r>
            <w:r>
              <w:rPr>
                <w:rFonts w:ascii="Calibri Light" w:hAnsi="Calibri Light" w:cs="Calibri Light"/>
                <w:i/>
                <w:iCs/>
                <w:color w:val="1F3A93"/>
                <w:sz w:val="16"/>
                <w:szCs w:val="16"/>
              </w:rPr>
              <w:t xml:space="preserve"> (partnership qualifying as a SIF or RAIF without adopting the SICAV form). It is a partnership that is tax transparent for Luxembourg income tax purposes (subject to confirmation of its municipal business tax position), with governance governed almost exclusively by the LPA and minimal corporate formalities, being subject to the regulatory requirements of the RAIF Law or the SIF Law, as applicable.</w:t>
            </w:r>
          </w:p>
          <w:p w14:paraId="71DDCF25" w14:textId="77777777" w:rsidR="00146CAD" w:rsidRPr="00762ADE" w:rsidRDefault="003D5E9B"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Regarding the determination of the name of the Fund and the general partner vehicle (GP), usually the name of the GP includes the name of the investment vehicle it will manage, e.g. if the fund’s name is “ABC Fund”, the GP’s name could be “ABC GP” or “ABC Fund GP”.</w:t>
            </w:r>
          </w:p>
        </w:tc>
      </w:tr>
      <w:tr w:rsidR="00A1032E" w:rsidRPr="009B7F09" w14:paraId="46231A38"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4828D82C" w14:textId="77777777" w:rsidR="00A1032E" w:rsidRPr="005F4A57" w:rsidRDefault="006A7509" w:rsidP="005F01A8">
            <w:pPr>
              <w:spacing w:before="120" w:after="120"/>
              <w:rPr>
                <w:rFonts w:ascii="Calibri Light" w:hAnsi="Calibri Light" w:cs="Calibri Light"/>
                <w:b/>
                <w:bCs/>
                <w:color w:val="1F3A93"/>
              </w:rPr>
            </w:pPr>
            <w:r>
              <w:rPr>
                <w:rFonts w:ascii="Calibri Light" w:hAnsi="Calibri Light" w:cs="Calibri Light"/>
                <w:b/>
                <w:bCs/>
                <w:color w:val="1F3A93"/>
              </w:rPr>
              <w:t>Registered Office</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61F9F3A3" w14:textId="77777777" w:rsidR="00A1032E" w:rsidRPr="009B7F09" w:rsidRDefault="006A7509" w:rsidP="005F01A8">
            <w:pPr>
              <w:spacing w:before="120" w:after="120"/>
              <w:rPr>
                <w:rFonts w:ascii="Calibri Light" w:hAnsi="Calibri Light" w:cs="Calibri Light"/>
                <w:color w:val="auto"/>
              </w:rPr>
            </w:pPr>
            <w:r>
              <w:rPr>
                <w:rFonts w:ascii="Calibri Light" w:hAnsi="Calibri Light" w:cs="Calibri Light"/>
                <w:b/>
                <w:bCs/>
                <w:color w:val="auto"/>
              </w:rPr>
              <w:t>[[FundRegisteredOffice]]</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4D04A462" w14:textId="77777777" w:rsidR="00A1032E" w:rsidRPr="009B7F09" w:rsidRDefault="006A7509" w:rsidP="005F01A8">
            <w:pPr>
              <w:spacing w:before="120" w:after="120"/>
              <w:rPr>
                <w:rFonts w:ascii="Calibri Light" w:hAnsi="Calibri Light" w:cs="Calibri Light"/>
              </w:rPr>
            </w:pPr>
            <w:r>
              <w:rPr>
                <w:rFonts w:ascii="Calibri Light" w:hAnsi="Calibri Light" w:cs="Calibri Light"/>
                <w:i/>
                <w:iCs/>
                <w:color w:val="1F3A93"/>
                <w:sz w:val="16"/>
                <w:szCs w:val="16"/>
              </w:rPr>
              <w:t>The registered office must be in Luxembourg. For RAIFs and AIFs, the registered office is typically at the AIFM's premises or at a dedicated domiciliation agent. Confirm domiciliation arrangements before execution.</w:t>
            </w:r>
          </w:p>
        </w:tc>
      </w:tr>
      <w:tr w:rsidR="00A1032E" w:rsidRPr="009B7F09" w14:paraId="2020D584"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4BB1AF49" w14:textId="77777777" w:rsidR="00A1032E" w:rsidRPr="005F4A57" w:rsidRDefault="006A7509" w:rsidP="005F01A8">
            <w:pPr>
              <w:spacing w:before="120" w:after="120"/>
              <w:rPr>
                <w:rFonts w:ascii="Calibri Light" w:hAnsi="Calibri Light" w:cs="Calibri Light"/>
                <w:b/>
                <w:bCs/>
                <w:color w:val="1F3A93"/>
              </w:rPr>
            </w:pPr>
            <w:r>
              <w:rPr>
                <w:rFonts w:ascii="Calibri Light" w:hAnsi="Calibri Light" w:cs="Calibri Light"/>
                <w:b/>
                <w:bCs/>
                <w:color w:val="1F3A93"/>
              </w:rPr>
              <w:t>Compartment Structure</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7A9E4E4B" w14:textId="77777777" w:rsidR="00A1032E" w:rsidRPr="00FA1EC6" w:rsidRDefault="007A4886" w:rsidP="008C534D">
            <w:pPr>
              <w:spacing w:before="120" w:after="120"/>
              <w:jc w:val="both"/>
              <w:rPr>
                <w:rFonts w:ascii="Calibri Light" w:hAnsi="Calibri Light" w:cs="Calibri Light"/>
                <w:color w:val="1F3A93"/>
              </w:rPr>
            </w:pPr>
            <w:r>
              <w:rPr>
                <w:rFonts w:ascii="Calibri Light" w:hAnsi="Calibri Light" w:cs="Calibri Light"/>
                <w:b/>
                <w:bCs/>
                <w:color w:val="1F3A93"/>
              </w:rPr>
              <w:t xml:space="preserve">[If umbrella RAIF / SIF:] </w:t>
            </w:r>
            <w:r>
              <w:rPr>
                <w:rFonts w:ascii="Calibri Light" w:hAnsi="Calibri Light" w:cs="Calibri Light"/>
                <w:color w:val="1F3A93"/>
              </w:rPr>
              <w:t xml:space="preserve">The Fund operates as an umbrella structure with one or more compartments. The initial compartment is designated </w:t>
            </w:r>
            <w:r>
              <w:rPr>
                <w:rFonts w:ascii="Calibri Light" w:hAnsi="Calibri Light" w:cs="Calibri Light"/>
                <w:b/>
                <w:bCs/>
                <w:color w:val="1F3A93"/>
              </w:rPr>
              <w:t>[[CompartmentName]</w:t>
            </w:r>
            <w:r>
              <w:rPr>
                <w:rFonts w:ascii="Calibri Light" w:hAnsi="Calibri Light" w:cs="Calibri Light"/>
                <w:color w:val="1F3A93"/>
              </w:rPr>
              <w:t>] (the "</w:t>
            </w:r>
            <w:r>
              <w:rPr>
                <w:rFonts w:ascii="Calibri Light" w:hAnsi="Calibri Light" w:cs="Calibri Light"/>
                <w:b/>
                <w:bCs/>
                <w:color w:val="1F3A93"/>
              </w:rPr>
              <w:t>Compartment</w:t>
            </w:r>
            <w:r>
              <w:rPr>
                <w:rFonts w:ascii="Calibri Light" w:hAnsi="Calibri Light" w:cs="Calibri Light"/>
                <w:color w:val="1F3A93"/>
              </w:rPr>
              <w:t>"). Each compartment has segregated assets and liabilities.</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262E9E17" w14:textId="77777777" w:rsidR="00A1032E" w:rsidRPr="00FA1EC6" w:rsidRDefault="006A7509"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Umbrella / compartment structure</w:t>
            </w:r>
            <w:r>
              <w:rPr>
                <w:rFonts w:ascii="Calibri Light" w:hAnsi="Calibri Light" w:cs="Calibri Light"/>
                <w:i/>
                <w:iCs/>
                <w:color w:val="1F3A93"/>
                <w:sz w:val="16"/>
                <w:szCs w:val="16"/>
              </w:rPr>
              <w:t xml:space="preserve"> is optional for an SCS or SCSp set up as a RAIF or a SIF or a SICAR. Under Article 49 of the RAIF Law </w:t>
            </w:r>
            <w:r>
              <w:rPr>
                <w:rFonts w:ascii="Calibri Light" w:hAnsi="Calibri Light" w:cs="Calibri Light"/>
                <w:i/>
                <w:iCs/>
                <w:color w:val="1F3A93"/>
                <w:sz w:val="16"/>
                <w:szCs w:val="16"/>
              </w:rPr>
              <w:t xml:space="preserve">(and, for a SIF, Article 71 of the SIF Law) </w:t>
            </w:r>
            <w:r>
              <w:rPr>
                <w:rFonts w:ascii="Calibri Light" w:hAnsi="Calibri Light" w:cs="Calibri Light"/>
                <w:i/>
                <w:iCs/>
                <w:color w:val="1F3A93"/>
                <w:sz w:val="16"/>
                <w:szCs w:val="16"/>
              </w:rPr>
              <w:t xml:space="preserve">the constitutive documents must expressly provide for compartments and the applicable operational rules. Where they do, the rights of investors and creditors of a compartment are limited to the assets of that compartment, and each compartment is treated as a separate entity as between investors - but in each case only unless a clause of the constitutive documents provides otherwise (Article 49(5)). Segregation must therefore be confirmed in the LPA, not assumed. Confirm whether the PPM/LPA will allow future compartments and on what terms.</w:t>
            </w:r>
          </w:p>
          <w:p w14:paraId="6573A228" w14:textId="77777777" w:rsidR="007D425B" w:rsidRPr="00FA1EC6" w:rsidRDefault="007D425B" w:rsidP="008C534D">
            <w:pPr>
              <w:spacing w:before="120" w:after="120"/>
              <w:jc w:val="both"/>
              <w:rPr>
                <w:rFonts w:ascii="Calibri Light" w:hAnsi="Calibri Light" w:cs="Calibri Light"/>
                <w:color w:val="1F3A93"/>
              </w:rPr>
            </w:pPr>
            <w:r>
              <w:rPr>
                <w:rFonts w:ascii="Calibri Light" w:hAnsi="Calibri Light" w:cs="Calibri Light"/>
                <w:b/>
                <w:bCs/>
                <w:i/>
                <w:iCs/>
                <w:color w:val="1F3A93"/>
                <w:sz w:val="16"/>
                <w:szCs w:val="16"/>
              </w:rPr>
              <w:t>If the SCSp is an unregulated vehicle</w:t>
            </w:r>
            <w:r>
              <w:rPr>
                <w:rFonts w:ascii="Calibri Light" w:hAnsi="Calibri Light" w:cs="Calibri Light"/>
                <w:i/>
                <w:iCs/>
                <w:color w:val="1F3A93"/>
                <w:sz w:val="16"/>
                <w:szCs w:val="16"/>
              </w:rPr>
              <w:t xml:space="preserve">, it typically does not use the umbrella structure with segregated portfolios as there is no statutory ring-fencing. This may change: bill of law 8814, submitted to Parliament on 30 July 2026, would amend the AIFM Law to allow an SCS or SCSp qualifying as an AIF and managed by an authorised AIFM to adopt a ring-fenced multi-compartment structure without being subject to any product law, with no minimum capital, no statutory risk-spreading requirement and no mandatory offering document. The bill is expected to be voted before the end of 2026 and may change during the legislative process. Confirm its status before relying on this row. In the meantime, the 1915 Law provides a </w:t>
            </w:r>
            <w:r>
              <w:rPr>
                <w:rFonts w:ascii="Calibri Light" w:hAnsi="Calibri Light" w:cs="Calibri Light"/>
                <w:i/>
                <w:iCs/>
                <w:color w:val="1F3A93"/>
                <w:sz w:val="16"/>
                <w:szCs w:val="16"/>
              </w:rPr>
              <w:t>measure of protection at fund level: assets pooled in the SCSp must be registered in its name, and must exclusively satisfy the claims of creditors arising from the formation, running or liquidation of the partnership (Article 320-2 of the 1915 Law - SCSp only; an SCS has legal personality and owns its assets itself). That is protection of the fund against the partners’ personal creditors, not segregation between compartments.</w:t>
            </w:r>
          </w:p>
        </w:tc>
      </w:tr>
      <w:tr w:rsidR="00A1032E" w:rsidRPr="009B7F09" w14:paraId="58002971"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26ABDB88" w14:textId="77777777" w:rsidR="00A1032E" w:rsidRPr="00FA1EC6" w:rsidRDefault="006A7509" w:rsidP="005F01A8">
            <w:pPr>
              <w:spacing w:before="120" w:after="120"/>
              <w:rPr>
                <w:rFonts w:ascii="Calibri Light" w:hAnsi="Calibri Light" w:cs="Calibri Light"/>
                <w:color w:val="1F3A93"/>
              </w:rPr>
            </w:pPr>
            <w:r>
              <w:rPr>
                <w:rFonts w:ascii="Calibri Light" w:hAnsi="Calibri Light" w:cs="Calibri Light"/>
                <w:b/>
                <w:bCs/>
                <w:color w:val="1F3A93"/>
              </w:rPr>
              <w:t>Regulatory Regime</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2A11BB30" w14:textId="77777777" w:rsidR="004874E9" w:rsidRPr="00FA1EC6" w:rsidRDefault="006A7509" w:rsidP="008C534D">
            <w:pPr>
              <w:spacing w:before="120" w:after="120"/>
              <w:jc w:val="both"/>
              <w:rPr>
                <w:rFonts w:ascii="Calibri Light" w:hAnsi="Calibri Light" w:cs="Calibri Light"/>
                <w:b/>
                <w:bCs/>
                <w:color w:val="1F3A93"/>
              </w:rPr>
            </w:pPr>
            <w:r>
              <w:rPr>
                <w:rFonts w:ascii="Calibri Light" w:hAnsi="Calibri Light" w:cs="Calibri Light"/>
                <w:b/>
                <w:bCs/>
                <w:color w:val="1F3A93"/>
              </w:rPr>
              <w:t>[Unregulated SCS/SCSp (sub-threshold) / SCS/SCSp SICAV-SIF / SCS/SCSp SICAV-RAIF / SCS/SCSp SIF (non-SICAV) / SCS/SCSp RAIF (non-SICAV)]</w:t>
            </w:r>
            <w:r>
              <w:rPr>
                <w:rFonts w:ascii="Calibri Light" w:hAnsi="Calibri Light" w:cs="Calibri Light"/>
                <w:color w:val="1F3A93"/>
              </w:rPr>
              <w:t xml:space="preserve">. </w:t>
            </w:r>
          </w:p>
          <w:p w14:paraId="0546DE8F" w14:textId="77777777" w:rsidR="004874E9" w:rsidRPr="00FA1EC6" w:rsidRDefault="004874E9" w:rsidP="008C534D">
            <w:pPr>
              <w:spacing w:before="120" w:after="120"/>
              <w:jc w:val="both"/>
              <w:rPr>
                <w:rFonts w:ascii="Calibri Light" w:hAnsi="Calibri Light" w:cs="Calibri Light"/>
                <w:b/>
                <w:bCs/>
                <w:color w:val="1F3A93"/>
              </w:rPr>
            </w:pPr>
          </w:p>
          <w:p w14:paraId="0AD4B752" w14:textId="77777777" w:rsidR="003E428A" w:rsidRDefault="00FF0C49">
            <w:pPr>
              <w:spacing w:before="120" w:after="120"/>
              <w:jc w:val="both"/>
              <w:rPr>
                <w:rFonts w:ascii="Calibri Light" w:hAnsi="Calibri Light" w:cs="Calibri Light"/>
                <w:color w:val="1F3A93"/>
              </w:rPr>
            </w:pPr>
            <w:r>
              <w:rPr>
                <w:rFonts w:ascii="Calibri Light" w:hAnsi="Calibri Light" w:cs="Calibri Light"/>
                <w:b/>
                <w:bCs/>
                <w:color w:val="1F3A93"/>
              </w:rPr>
              <w:t xml:space="preserve">[If unregulated SCS/SCSp (sub-threshold):] </w:t>
            </w:r>
            <w:r>
              <w:rPr>
                <w:rFonts w:ascii="Calibri Light" w:hAnsi="Calibri Light" w:cs="Calibri Light"/>
                <w:color w:val="1F3A93"/>
              </w:rPr>
              <w:t>The Fund is not subject to any Luxembourg product law and is neither authorised nor supervised by the CSSF. The Fund qualifies as an alternative investment fund within the meaning of the AIFM Law and is managed by a manager whose assets under management do not exceed the thresholds set out in Article 3(2) of the AIFM Law and which is registered with the CSSF under Article 3(3) of the AIFM Law. The Fund is governed by the 1915 Law and the LPA.</w:t>
            </w:r>
          </w:p>
          <w:p w14:paraId="1D896E14" w14:textId="77777777" w:rsidR="003E428A" w:rsidRDefault="00FF0C49">
            <w:pPr>
              <w:spacing w:before="120" w:after="120"/>
              <w:jc w:val="both"/>
              <w:rPr>
                <w:rFonts w:ascii="Calibri Light" w:hAnsi="Calibri Light" w:cs="Calibri Light"/>
                <w:color w:val="1F3A93"/>
              </w:rPr>
            </w:pPr>
            <w:r>
              <w:rPr>
                <w:rFonts w:ascii="Calibri Light" w:hAnsi="Calibri Light" w:cs="Calibri Light"/>
                <w:b/>
                <w:bCs/>
                <w:color w:val="1F3A93"/>
              </w:rPr>
              <w:t xml:space="preserve">[If SIF:] </w:t>
            </w:r>
            <w:r>
              <w:rPr>
                <w:rFonts w:ascii="Calibri Light" w:hAnsi="Calibri Light" w:cs="Calibri Light"/>
                <w:color w:val="1F3A93"/>
              </w:rPr>
              <w:t>The Fund qualifies as a specialised investment fund within the meaning of the SIF Law and is subject to the prior authorisation and the supervision of the CSSF. The Fund may not carry out its activities before it has been authorised by the CSSF, which requires the approval by the CSSF of its constitutive documents and of the choice of the depositary (Article 42 of the SIF Law), and the Fund will be entered on the list of specialised investment funds held by the CSSF (Article 43 of the SIF Law). The Fund is subject to an annual subscription tax (</w:t>
            </w:r>
            <w:r>
              <w:rPr>
                <w:rFonts w:ascii="Calibri Light" w:hAnsi="Calibri Light" w:cs="Calibri Light"/>
                <w:i/>
                <w:iCs/>
                <w:color w:val="1F3A93"/>
              </w:rPr>
              <w:t>taxe d'abonnement</w:t>
            </w:r>
            <w:r>
              <w:rPr>
                <w:rFonts w:ascii="Calibri Light" w:hAnsi="Calibri Light" w:cs="Calibri Light"/>
                <w:color w:val="1F3A93"/>
              </w:rPr>
              <w:t>) of 0.01% of its entire net assets under Article 68 of the SIF Law.</w:t>
            </w:r>
          </w:p>
          <w:p w14:paraId="3C50ABF7" w14:textId="77777777" w:rsidR="00A1032E" w:rsidRPr="00FA1EC6" w:rsidRDefault="006A7509" w:rsidP="008C534D">
            <w:pPr>
              <w:spacing w:before="120" w:after="120"/>
              <w:jc w:val="both"/>
              <w:rPr>
                <w:rFonts w:ascii="Calibri Light" w:hAnsi="Calibri Light" w:cs="Calibri Light"/>
                <w:color w:val="1F3A93"/>
              </w:rPr>
            </w:pPr>
            <w:r>
              <w:rPr>
                <w:rFonts w:ascii="Calibri Light" w:hAnsi="Calibri Light" w:cs="Calibri Light"/>
                <w:b/>
                <w:bCs/>
                <w:color w:val="1F3A93"/>
              </w:rPr>
              <w:t xml:space="preserve">[If RAIF:] </w:t>
            </w:r>
            <w:r>
              <w:rPr>
                <w:rFonts w:ascii="Calibri Light" w:hAnsi="Calibri Light" w:cs="Calibri Light"/>
                <w:color w:val="1F3A93"/>
              </w:rPr>
              <w:t>The Fund qualifies as a reserved alternative investment fund within the meaning of the RAIF Law and is not subject to CSSF product supervision. The Fund is required to appoint an authorised external AIFM. The constitution of the Fund will be recorded in a notarial deed within 5 working days of its constitution (unless formed by notarial deed), a constitution notice will be filed with the RCS for publication within 15 working days, and the Fund will be inscribed on the list of reserved alternative investment funds held by the RCS within 20 working days, in each case in accordance with Article 34 of the RAIF Law. The Fund is subject to an annual subscription tax (</w:t>
            </w:r>
            <w:r>
              <w:rPr>
                <w:rFonts w:ascii="Calibri Light" w:hAnsi="Calibri Light" w:cs="Calibri Light"/>
                <w:i/>
                <w:iCs/>
                <w:color w:val="1F3A93"/>
              </w:rPr>
              <w:t>taxe d'abonnement</w:t>
            </w:r>
            <w:r>
              <w:rPr>
                <w:rFonts w:ascii="Calibri Light" w:hAnsi="Calibri Light" w:cs="Calibri Light"/>
                <w:color w:val="1F3A93"/>
              </w:rPr>
              <w:t>) of 0.01% of its aggregate net assets under Article 46 of the RAIF Law, save where it elects the risk capital regime under Article 48.</w:t>
            </w:r>
            <w:r>
              <w:rPr>
                <w:rStyle w:val="FootnoteReference"/>
                <w:rFonts w:ascii="Calibri Light" w:hAnsi="Calibri Light" w:cs="Calibri Light"/>
                <w:color w:val="1F3A93"/>
              </w:rPr>
              <w:footnoteReference w:id="1"/>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7DE1ED21" w14:textId="77777777" w:rsidR="003D5E9B" w:rsidRPr="00FA1EC6" w:rsidRDefault="006A7509"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RAIF</w:t>
            </w:r>
            <w:r>
              <w:rPr>
                <w:rFonts w:ascii="Calibri Light" w:hAnsi="Calibri Light" w:cs="Calibri Light"/>
                <w:i/>
                <w:iCs/>
                <w:color w:val="1F3A93"/>
                <w:sz w:val="16"/>
                <w:szCs w:val="16"/>
              </w:rPr>
              <w:t xml:space="preserve">: fastest to market (no CSSF approval required); must appoint an authorised external AIFM; can elect SIF-like or SICAR-like investment restrictions; not available for non-AIFs. </w:t>
            </w:r>
          </w:p>
          <w:p w14:paraId="5F53195A" w14:textId="77777777" w:rsidR="003D5E9B" w:rsidRPr="00FA1EC6" w:rsidRDefault="006A7509"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SIF</w:t>
            </w:r>
            <w:r>
              <w:rPr>
                <w:rFonts w:ascii="Calibri Light" w:hAnsi="Calibri Light" w:cs="Calibri Light"/>
                <w:i/>
                <w:iCs/>
                <w:color w:val="1F3A93"/>
                <w:sz w:val="16"/>
                <w:szCs w:val="16"/>
              </w:rPr>
              <w:t xml:space="preserve">: CSSF-approved product; </w:t>
            </w:r>
            <w:r>
              <w:rPr>
                <w:rFonts w:ascii="Calibri Light" w:hAnsi="Calibri Light" w:cs="Calibri Light"/>
                <w:i/>
                <w:iCs/>
                <w:color w:val="1F3A93"/>
                <w:sz w:val="16"/>
                <w:szCs w:val="16"/>
              </w:rPr>
              <w:t xml:space="preserve">eligible investors are well-informed investors under Article 2 of the SIF Law (same eligibility test as RAIFs); slower setup due to CSSF authorisation requirement</w:t>
            </w:r>
            <w:r>
              <w:rPr>
                <w:rFonts w:ascii="Calibri Light" w:hAnsi="Calibri Light" w:cs="Calibri Light"/>
                <w:i/>
                <w:iCs/>
                <w:color w:val="1F3A93"/>
                <w:sz w:val="16"/>
                <w:szCs w:val="16"/>
              </w:rPr>
              <w:t xml:space="preserve">. </w:t>
            </w:r>
          </w:p>
          <w:p w14:paraId="12007008" w14:textId="77777777" w:rsidR="003D5E9B" w:rsidRPr="00FA1EC6" w:rsidRDefault="006A7509"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SICAR</w:t>
            </w:r>
            <w:r>
              <w:rPr>
                <w:rFonts w:ascii="Calibri Light" w:hAnsi="Calibri Light" w:cs="Calibri Light"/>
                <w:i/>
                <w:iCs/>
                <w:color w:val="1F3A93"/>
                <w:sz w:val="16"/>
                <w:szCs w:val="16"/>
              </w:rPr>
              <w:t xml:space="preserve">: risk capital vehicle; no diversification requirement; for venture/PE only. </w:t>
            </w:r>
          </w:p>
          <w:p w14:paraId="35D6B0AF" w14:textId="77777777" w:rsidR="000440A8" w:rsidRPr="00FA1EC6" w:rsidRDefault="006A7509"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Choose carefully — regime affects marketing permissions (NPPR vs. passport), disclosure, and ongoing obligations. </w:t>
            </w:r>
          </w:p>
          <w:p w14:paraId="0844F1E2" w14:textId="77777777" w:rsidR="00A1032E" w:rsidRPr="00FA1EC6" w:rsidRDefault="006A7509" w:rsidP="008C534D">
            <w:pPr>
              <w:spacing w:before="120" w:after="120"/>
              <w:jc w:val="both"/>
              <w:rPr>
                <w:rFonts w:ascii="Calibri Light" w:hAnsi="Calibri Light" w:cs="Calibri Light"/>
                <w:color w:val="1F3A93"/>
              </w:rPr>
            </w:pPr>
            <w:r>
              <w:rPr>
                <w:rFonts w:ascii="Calibri Light" w:hAnsi="Calibri Light" w:cs="Calibri Light"/>
                <w:b/>
                <w:bCs/>
                <w:i/>
                <w:iCs/>
                <w:color w:val="1F3A93"/>
                <w:sz w:val="16"/>
                <w:szCs w:val="16"/>
              </w:rPr>
              <w:t>Non-AIF / sub-threshold</w:t>
            </w:r>
            <w:r>
              <w:rPr>
                <w:rFonts w:ascii="Calibri Light" w:hAnsi="Calibri Light" w:cs="Calibri Light"/>
                <w:i/>
                <w:iCs/>
                <w:color w:val="1F3A93"/>
                <w:sz w:val="16"/>
                <w:szCs w:val="16"/>
              </w:rPr>
              <w:t>: where the vehicle does not qualify as an AIF, or where the manager’s total AUM falls below the Article 3(2) AIFM Law thresholds (EUR 100M leveraged / EUR 500M unleveraged and closed-ended), the full AIFMD framework does not apply. No AIFM, depositary, or full fledged disclosures are required under Luxembourg law, and marketing must rely on national private placement rules in each target jurisdiction. The eligible investor universe is contractual rather than statutory. This template may be used for such structures with the adaptations.</w:t>
            </w:r>
          </w:p>
        </w:tc>
      </w:tr>
      <w:tr w:rsidR="00A1032E" w:rsidRPr="009B7F09" w14:paraId="2ECDCD39" w14:textId="77777777" w:rsidTr="479FEC54">
        <w:tc>
          <w:tcPr>
            <w:tcW w:w="0" w:type="auto"/>
            <w:gridSpan w:val="3"/>
            <w:tcBorders>
              <w:top w:val="single" w:sz="6" w:space="0" w:color="0D2240"/>
              <w:left w:val="single" w:sz="6" w:space="0" w:color="0D2240"/>
              <w:bottom w:val="single" w:sz="6" w:space="0" w:color="0D2240"/>
              <w:right w:val="single" w:sz="6" w:space="0" w:color="0D2240"/>
            </w:tcBorders>
            <w:shd w:val="clear" w:color="auto" w:fill="1F3A93"/>
            <w:tcMar>
              <w:top w:w="100" w:type="dxa"/>
              <w:left w:w="180" w:type="dxa"/>
              <w:bottom w:w="100" w:type="dxa"/>
              <w:right w:w="180" w:type="dxa"/>
            </w:tcMar>
          </w:tcPr>
          <w:p w14:paraId="1942B2B0" w14:textId="77777777" w:rsidR="00A1032E" w:rsidRPr="009B7F09" w:rsidRDefault="006A7509" w:rsidP="005F01A8">
            <w:pPr>
              <w:spacing w:before="120" w:after="120"/>
              <w:rPr>
                <w:rFonts w:ascii="Calibri Light" w:hAnsi="Calibri Light" w:cs="Calibri Light"/>
              </w:rPr>
            </w:pPr>
            <w:r>
              <w:rPr>
                <w:rFonts w:ascii="Calibri Light" w:hAnsi="Calibri Light" w:cs="Calibri Light"/>
                <w:b/>
                <w:bCs/>
                <w:color w:val="FFFFFF"/>
                <w:sz w:val="20"/>
                <w:szCs w:val="20"/>
              </w:rPr>
              <w:lastRenderedPageBreak/>
              <w:t>II.   PARTIES AND GOVERNANCE</w:t>
            </w:r>
          </w:p>
        </w:tc>
      </w:tr>
      <w:tr w:rsidR="00A1032E" w:rsidRPr="009B7F09" w14:paraId="1D434D66"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2846E1E5" w14:textId="77777777" w:rsidR="00A1032E" w:rsidRPr="00FA1EC6" w:rsidRDefault="006A7509" w:rsidP="005F01A8">
            <w:pPr>
              <w:spacing w:before="120" w:after="120"/>
              <w:rPr>
                <w:rFonts w:ascii="Calibri Light" w:hAnsi="Calibri Light" w:cs="Calibri Light"/>
                <w:color w:val="1F3A93"/>
              </w:rPr>
            </w:pPr>
            <w:r>
              <w:rPr>
                <w:rFonts w:ascii="Calibri Light" w:hAnsi="Calibri Light" w:cs="Calibri Light"/>
                <w:b/>
                <w:bCs/>
                <w:color w:val="1F3A93"/>
              </w:rPr>
              <w:t>General Partner</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4254CE08" w14:textId="77777777" w:rsidR="00A1032E" w:rsidRPr="00FA1EC6" w:rsidRDefault="006A7509" w:rsidP="008C534D">
            <w:pPr>
              <w:spacing w:before="120" w:after="120"/>
              <w:jc w:val="both"/>
              <w:rPr>
                <w:rFonts w:ascii="Calibri Light" w:hAnsi="Calibri Light" w:cs="Calibri Light"/>
                <w:color w:val="1F3A93"/>
              </w:rPr>
            </w:pPr>
            <w:r>
              <w:rPr>
                <w:rFonts w:ascii="Calibri Light" w:hAnsi="Calibri Light" w:cs="Calibri Light"/>
                <w:b/>
                <w:bCs/>
                <w:color w:val="1F3A93"/>
              </w:rPr>
              <w:t>[[GPName]</w:t>
            </w:r>
            <w:r>
              <w:rPr>
                <w:rFonts w:ascii="Calibri Light" w:hAnsi="Calibri Light" w:cs="Calibri Light"/>
                <w:color w:val="1F3A93"/>
              </w:rPr>
              <w:t>], a Luxembourg private limited liability company (</w:t>
            </w:r>
            <w:r>
              <w:rPr>
                <w:rFonts w:ascii="Calibri Light" w:hAnsi="Calibri Light" w:cs="Calibri Light"/>
                <w:i/>
                <w:iCs/>
                <w:color w:val="1F3A93"/>
              </w:rPr>
              <w:t>société à responsabilité limitée</w:t>
            </w:r>
            <w:r>
              <w:rPr>
                <w:rFonts w:ascii="Calibri Light" w:hAnsi="Calibri Light" w:cs="Calibri Light"/>
                <w:color w:val="1F3A93"/>
              </w:rPr>
              <w:t xml:space="preserve">) incorporated under the laws of the Grand Duchy of Luxembourg with registered number </w:t>
            </w:r>
            <w:r>
              <w:rPr>
                <w:rFonts w:ascii="Calibri Light" w:hAnsi="Calibri Light" w:cs="Calibri Light"/>
                <w:b/>
                <w:bCs/>
                <w:color w:val="1F3A93"/>
              </w:rPr>
              <w:t>[[GPRCS]</w:t>
            </w:r>
            <w:r>
              <w:rPr>
                <w:rFonts w:ascii="Calibri Light" w:hAnsi="Calibri Light" w:cs="Calibri Light"/>
                <w:color w:val="1F3A93"/>
              </w:rPr>
              <w:t>], acting as managing general partner of the Fund (the "</w:t>
            </w:r>
            <w:r>
              <w:rPr>
                <w:rFonts w:ascii="Calibri Light" w:hAnsi="Calibri Light" w:cs="Calibri Light"/>
                <w:b/>
                <w:bCs/>
                <w:color w:val="1F3A93"/>
              </w:rPr>
              <w:t>General Partner</w:t>
            </w:r>
            <w:r>
              <w:rPr>
                <w:rFonts w:ascii="Calibri Light" w:hAnsi="Calibri Light" w:cs="Calibri Light"/>
                <w:color w:val="1F3A93"/>
              </w:rPr>
              <w:t>" or “</w:t>
            </w:r>
            <w:r>
              <w:rPr>
                <w:rFonts w:ascii="Calibri Light" w:hAnsi="Calibri Light" w:cs="Calibri Light"/>
                <w:b/>
                <w:bCs/>
                <w:color w:val="1F3A93"/>
              </w:rPr>
              <w:t>GP</w:t>
            </w:r>
            <w:r>
              <w:rPr>
                <w:rFonts w:ascii="Calibri Light" w:hAnsi="Calibri Light" w:cs="Calibri Light"/>
                <w:color w:val="1F3A93"/>
              </w:rPr>
              <w:t>”).</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4A70D974" w14:textId="77777777" w:rsidR="007D425B" w:rsidRPr="005F4A57" w:rsidRDefault="006A7509"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The GP is the management and control entity of an SCS or SCSp. It has unlimited liability for the Fund's debts (as commandité) and exercises day-to-day management. The GP is typically a dedicated S.à r.l. with minimum share capital of EUR 12,000. Under Article 310-2 (SCS) or Article 320-3 (SCSp) of the 1915 Law the Fund is managed by one or more managers who may, but need not, be general partners, and restrictions on the managers’ powers set out in the LPA are not enforceable against third parties even if published. Limits agreed with investors - including Advisory Committee consent rights and investment restrictions - therefore bind the General Partner internally but do not, of themselves, invalidate acts done with third parties. The GP's board of managers  constitutes the Responsable du respect des obligation</w:t>
            </w:r>
            <w:r>
              <w:rPr>
                <w:rFonts w:ascii="Calibri Light" w:hAnsi="Calibri Light" w:cs="Calibri Light"/>
                <w:i/>
                <w:iCs/>
                <w:color w:val="1F3A93"/>
                <w:sz w:val="16"/>
                <w:szCs w:val="16"/>
              </w:rPr>
              <w:t xml:space="preserve">s</w:t>
            </w:r>
            <w:r>
              <w:rPr>
                <w:rFonts w:ascii="Calibri Light" w:hAnsi="Calibri Light" w:cs="Calibri Light"/>
                <w:i/>
                <w:iCs/>
                <w:color w:val="1F3A93"/>
                <w:sz w:val="16"/>
                <w:szCs w:val="16"/>
              </w:rPr>
              <w:t xml:space="preserve"> (“</w:t>
            </w:r>
            <w:r>
              <w:rPr>
                <w:rFonts w:ascii="Calibri Light" w:hAnsi="Calibri Light" w:cs="Calibri Light"/>
                <w:b/>
                <w:bCs/>
                <w:i/>
                <w:iCs/>
                <w:color w:val="1F3A93"/>
                <w:sz w:val="16"/>
                <w:szCs w:val="16"/>
              </w:rPr>
              <w:t>RR</w:t>
            </w:r>
            <w:r>
              <w:rPr>
                <w:rFonts w:ascii="Calibri Light" w:hAnsi="Calibri Light" w:cs="Calibri Light"/>
                <w:i/>
                <w:iCs/>
                <w:color w:val="1F3A93"/>
                <w:sz w:val="16"/>
                <w:szCs w:val="16"/>
              </w:rPr>
              <w:t xml:space="preserve">”) for AML/CFT purposes. </w:t>
            </w:r>
          </w:p>
          <w:p w14:paraId="66531B18" w14:textId="77777777" w:rsidR="00A1032E" w:rsidRPr="00FA1EC6" w:rsidRDefault="006A7509"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Check whether the GP holds or requires any CSSF licence or registration.</w:t>
            </w:r>
          </w:p>
        </w:tc>
      </w:tr>
      <w:tr w:rsidR="00A1032E" w:rsidRPr="009B7F09" w14:paraId="03DC68FE"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39FD0830" w14:textId="77777777" w:rsidR="00A1032E" w:rsidRPr="00FA1EC6" w:rsidRDefault="006A7509" w:rsidP="005F01A8">
            <w:pPr>
              <w:spacing w:before="120" w:after="120"/>
              <w:rPr>
                <w:rFonts w:ascii="Calibri Light" w:hAnsi="Calibri Light" w:cs="Calibri Light"/>
                <w:color w:val="1F3A93"/>
              </w:rPr>
            </w:pPr>
            <w:r>
              <w:rPr>
                <w:rFonts w:ascii="Calibri Light" w:hAnsi="Calibri Light" w:cs="Calibri Light"/>
                <w:b/>
                <w:bCs/>
                <w:color w:val="1F3A93"/>
              </w:rPr>
              <w:t>Initial Limited Partner</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3B2FF3E0" w14:textId="77777777" w:rsidR="002031B7" w:rsidRPr="00FA1EC6" w:rsidRDefault="006A7509" w:rsidP="008C534D">
            <w:pPr>
              <w:spacing w:before="120" w:after="120"/>
              <w:jc w:val="both"/>
              <w:rPr>
                <w:rFonts w:ascii="Calibri Light" w:hAnsi="Calibri Light" w:cs="Calibri Light"/>
                <w:color w:val="1F3A93"/>
              </w:rPr>
            </w:pPr>
            <w:r>
              <w:rPr>
                <w:rFonts w:ascii="Calibri Light" w:hAnsi="Calibri Light" w:cs="Calibri Light"/>
                <w:b/>
                <w:bCs/>
                <w:color w:val="1F3A93"/>
              </w:rPr>
              <w:t>[[InitialLimitedPartnerName]</w:t>
            </w:r>
            <w:r>
              <w:rPr>
                <w:rFonts w:ascii="Calibri Light" w:hAnsi="Calibri Light" w:cs="Calibri Light"/>
                <w:color w:val="1F3A93"/>
              </w:rPr>
              <w:t>], acting as initial limited partner for the purpose of constituting the Fund (the "</w:t>
            </w:r>
            <w:r>
              <w:rPr>
                <w:rFonts w:ascii="Calibri Light" w:hAnsi="Calibri Light" w:cs="Calibri Light"/>
                <w:b/>
                <w:bCs/>
                <w:color w:val="1F3A93"/>
              </w:rPr>
              <w:t>Initial Limited Partner</w:t>
            </w:r>
            <w:r>
              <w:rPr>
                <w:rFonts w:ascii="Calibri Light" w:hAnsi="Calibri Light" w:cs="Calibri Light"/>
                <w:color w:val="1F3A93"/>
              </w:rPr>
              <w:t xml:space="preserve">"). </w:t>
            </w:r>
          </w:p>
          <w:p w14:paraId="39ABBB6E" w14:textId="77777777" w:rsidR="00A1032E" w:rsidRPr="00FA1EC6" w:rsidRDefault="00FD18E6" w:rsidP="008C534D">
            <w:pPr>
              <w:spacing w:before="120" w:after="120"/>
              <w:jc w:val="both"/>
              <w:rPr>
                <w:rFonts w:ascii="Calibri Light" w:hAnsi="Calibri Light" w:cs="Calibri Light"/>
                <w:color w:val="1F3A93"/>
              </w:rPr>
            </w:pPr>
            <w:r>
              <w:rPr>
                <w:rFonts w:ascii="Calibri Light" w:hAnsi="Calibri Light" w:cs="Calibri Light"/>
                <w:color w:val="1F3A93"/>
              </w:rPr>
              <w:t>[The Initial Limited Partner's interest will be transferred or redeemed following the Initial Closing.]</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0C4249C0" w14:textId="77777777" w:rsidR="007D425B" w:rsidRPr="00FA1EC6" w:rsidRDefault="006A7509"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A Luxembourg SCS or SCSp requires at least one general partner and one limited partner at constitution (Articles 310-1 and 320-1(1) of the 1915 Law). The LPA should provide for the treatment of the initial limited partner's interest (redemption, transfer or retention) upon the admission of investors. </w:t>
            </w:r>
          </w:p>
          <w:p w14:paraId="6613F59B" w14:textId="77777777" w:rsidR="00A1032E" w:rsidRPr="00FA1EC6" w:rsidRDefault="006A7509"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 Document the mechanics of this transfer in the LPA. Ensure the Fund has at all times at least one general partner and one limited partner which are legally separate from each other and validly committed.  Sequence the redemption or transfer of the Initial Limited Partner’s interest so that it takes effect only once an investor Limited Partner has been admitted.</w:t>
            </w:r>
          </w:p>
          <w:p w14:paraId="26C2379E"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Please delete if not available at this stage, and include [TBD].</w:t>
            </w:r>
          </w:p>
        </w:tc>
      </w:tr>
      <w:tr w:rsidR="002031B7" w:rsidRPr="009B7F09" w14:paraId="4B150C53"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39B47B6A" w14:textId="77777777" w:rsidR="002031B7" w:rsidRPr="00FA1EC6" w:rsidRDefault="002031B7" w:rsidP="005F01A8">
            <w:pPr>
              <w:spacing w:before="120" w:after="120"/>
              <w:rPr>
                <w:rFonts w:ascii="Calibri Light" w:hAnsi="Calibri Light" w:cs="Calibri Light"/>
                <w:b/>
                <w:bCs/>
                <w:color w:val="1F3A93"/>
              </w:rPr>
            </w:pPr>
            <w:r>
              <w:rPr>
                <w:rFonts w:ascii="Calibri Light" w:hAnsi="Calibri Light" w:cs="Calibri Light"/>
                <w:b/>
                <w:bCs/>
                <w:color w:val="1F3A93"/>
              </w:rPr>
              <w:t>AIFM</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5BEF729D" w14:textId="77777777" w:rsidR="002031B7" w:rsidRPr="00FA1EC6" w:rsidRDefault="00B83F1F" w:rsidP="008C534D">
            <w:pPr>
              <w:spacing w:before="120" w:after="120"/>
              <w:jc w:val="both"/>
              <w:rPr>
                <w:rFonts w:ascii="Calibri Light" w:hAnsi="Calibri Light" w:cs="Calibri Light"/>
                <w:color w:val="1F3A93"/>
              </w:rPr>
            </w:pPr>
            <w:r>
              <w:rPr>
                <w:rFonts w:ascii="Calibri Light" w:hAnsi="Calibri Light" w:cs="Calibri Light"/>
                <w:b/>
                <w:bCs/>
                <w:color w:val="1F3A93"/>
              </w:rPr>
              <w:t>[RAIF / SIF with authorised AIFM]: [[AIFMName]]</w:t>
            </w:r>
            <w:r>
              <w:rPr>
                <w:rFonts w:ascii="Calibri Light" w:hAnsi="Calibri Light" w:cs="Calibri Light"/>
                <w:color w:val="1F3A93"/>
              </w:rPr>
              <w:t>, authorised by the Commission de Surveillance du Secteur Financier (CSSF) as an alternative investment fund manager pursuant to the AIFM Law of 12 July 2013.</w:t>
            </w:r>
          </w:p>
          <w:p w14:paraId="0C0CDA76" w14:textId="77777777" w:rsidR="00B83F1F" w:rsidRPr="00FA1EC6" w:rsidRDefault="00B83F1F" w:rsidP="008C534D">
            <w:pPr>
              <w:spacing w:before="120" w:after="120"/>
              <w:jc w:val="both"/>
              <w:rPr>
                <w:rFonts w:ascii="Calibri Light" w:hAnsi="Calibri Light" w:cs="Calibri Light"/>
                <w:b/>
                <w:bCs/>
                <w:color w:val="1F3A93"/>
              </w:rPr>
            </w:pPr>
            <w:r>
              <w:rPr>
                <w:rFonts w:ascii="Calibri Light" w:hAnsi="Calibri Light" w:cs="Calibri Light"/>
                <w:b/>
                <w:bCs/>
                <w:color w:val="1F3A93"/>
              </w:rPr>
              <w:t xml:space="preserve">[Unregulated SCS/SCSp (sub-threshold) / SIF below threshold]: </w:t>
            </w:r>
            <w:r>
              <w:rPr>
                <w:rFonts w:ascii="Calibri Light" w:hAnsi="Calibri Light" w:cs="Calibri Light"/>
                <w:color w:val="1F3A93"/>
              </w:rPr>
              <w:t>The General Partner, registered with the CSSF under Article 3(3) of the AIFM Law as a sub-threshold alternative investment fund manager, acts as the alternative investment fund manager of the Fund.</w:t>
            </w:r>
            <w:r>
              <w:rPr>
                <w:rFonts w:ascii="Calibri Light" w:hAnsi="Calibri Light" w:cs="Calibri Light"/>
                <w:b/>
                <w:bCs/>
                <w:color w:val="1F3A93"/>
              </w:rPr>
              <w:t xml:space="preserve"> No authorised AIFM is required. The General Partner manages the Fund and takes all investment decisions. [OPTIONAL: The General Partner is advised by the Investment Advisor.] [Alternatively, where a third-party manager is appointed: [[RegisteredManagerName]], a third-party manager registered with the CSSF under Article 3(3) of the AIFM Law and designated by the </w:t>
            </w:r>
            <w:r>
              <w:rPr>
                <w:rFonts w:ascii="Calibri Light" w:hAnsi="Calibri Light" w:cs="Calibri Light"/>
                <w:b/>
                <w:bCs/>
                <w:color w:val="1F3A93"/>
              </w:rPr>
              <w:t>General Partner, acts as the alternative investment fund manager of the Fund — delete as applicable.]</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6425AA25" w14:textId="77777777" w:rsidR="00B83F1F" w:rsidRPr="00FA1EC6" w:rsidRDefault="00B83F1F"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lastRenderedPageBreak/>
              <w:t>RAIF</w:t>
            </w:r>
            <w:r>
              <w:rPr>
                <w:rFonts w:ascii="Calibri Light" w:hAnsi="Calibri Light" w:cs="Calibri Light"/>
                <w:i/>
                <w:iCs/>
                <w:color w:val="1F3A93"/>
                <w:sz w:val="16"/>
                <w:szCs w:val="16"/>
              </w:rPr>
              <w:t>: an authorised external AIFM is mandatory (Article 4 of the RAIF Law). Self-managed RAIFs are not permitted. The AIFM bears full AIFMD obligations: portfolio management, risk management, CSSF reporting, Article 23 disclosure, depositary oversight, leverage reporting.</w:t>
            </w:r>
          </w:p>
          <w:p w14:paraId="13FD4003" w14:textId="77777777" w:rsidR="00B83F1F" w:rsidRPr="00FA1EC6" w:rsidRDefault="00B83F1F"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SIF</w:t>
            </w:r>
            <w:r>
              <w:rPr>
                <w:rFonts w:ascii="Calibri Light" w:hAnsi="Calibri Light" w:cs="Calibri Light"/>
                <w:i/>
                <w:iCs/>
                <w:color w:val="1F3A93"/>
                <w:sz w:val="16"/>
                <w:szCs w:val="16"/>
              </w:rPr>
              <w:t>: an AIFM is required if the SIF's AUM exceeds the AIFMD thresholds (EUR 100M leveraged / EUR 500M unleveraged and closed-ended). Below those thresholds, the SIF is managed by a sub-threshold registered manager — in principle the General Partner itself, registered with the CSSF under Article 3(3) of the AIFM Law, or a third-party registered manager designated by it. A SIF below the thresholds may nevertheless appoint an authorised AIFM. If the SIF relies on an AIFM below threshold, confirm that the AIFM appointment is reflected in the CSSF authorisation file.</w:t>
            </w:r>
          </w:p>
          <w:p w14:paraId="758D5C26" w14:textId="77777777" w:rsidR="002031B7" w:rsidRPr="00FA1EC6" w:rsidRDefault="00B83F1F"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lastRenderedPageBreak/>
              <w:t>Unregulated SCS/SCSp</w:t>
            </w:r>
            <w:r>
              <w:rPr>
                <w:rFonts w:ascii="Calibri Light" w:hAnsi="Calibri Light" w:cs="Calibri Light"/>
                <w:i/>
                <w:iCs/>
                <w:color w:val="1F3A93"/>
                <w:sz w:val="16"/>
                <w:szCs w:val="16"/>
              </w:rPr>
              <w:t>: no authorised AIFM is required. The General Partner is in principle the (external) AIFM of the Fund and must itself register with the CSSF under Article 3(3) of the AIFM Law where the Fund qualifies as an AIF and the Article 3(2) thresholds are not exceeded; alternatively, the General Partner may designate another registered external AIFM (see the CSSF FAQ on the AIFM Law, section on limited partnerships). An external investment adviser may be appointed under a separate advisory agreement without triggering AIFM authorisation requirements, provided its recommendations are non-binding and the GP retains ultimate responsibility for investment decisions. An adviser that takes investment decisions would itself be managing the Fund and would need to be the registered manager.</w:t>
            </w:r>
          </w:p>
        </w:tc>
      </w:tr>
      <w:tr w:rsidR="0023378E" w:rsidRPr="009B7F09" w14:paraId="6F8C6754"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0186A300" w14:textId="77777777" w:rsidR="0023378E" w:rsidRPr="00FA1EC6" w:rsidRDefault="0023378E" w:rsidP="005F01A8">
            <w:pPr>
              <w:spacing w:before="120" w:after="120"/>
              <w:rPr>
                <w:rFonts w:ascii="Calibri Light" w:hAnsi="Calibri Light" w:cs="Calibri Light"/>
                <w:b/>
                <w:bCs/>
                <w:color w:val="1F3A93"/>
              </w:rPr>
            </w:pPr>
            <w:r>
              <w:rPr>
                <w:rFonts w:ascii="Calibri Light" w:hAnsi="Calibri Light" w:cs="Calibri Light"/>
                <w:b/>
                <w:bCs/>
                <w:color w:val="1F3A93"/>
              </w:rPr>
              <w:t>Portfolio Manager</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2527D81F" w14:textId="77777777" w:rsidR="0023378E" w:rsidRPr="00FA1EC6" w:rsidRDefault="0023378E" w:rsidP="008C534D">
            <w:pPr>
              <w:spacing w:before="120" w:after="120"/>
              <w:jc w:val="both"/>
              <w:rPr>
                <w:rFonts w:ascii="Calibri Light" w:hAnsi="Calibri Light" w:cs="Calibri Light"/>
                <w:color w:val="1F3A93"/>
              </w:rPr>
            </w:pPr>
            <w:r>
              <w:rPr>
                <w:rFonts w:ascii="Calibri Light" w:hAnsi="Calibri Light" w:cs="Calibri Light"/>
                <w:b/>
                <w:bCs/>
                <w:color w:val="1F3A93"/>
              </w:rPr>
              <w:t>[OPTIONAL — delete if not used]</w:t>
            </w:r>
            <w:r>
              <w:rPr>
                <w:rFonts w:ascii="Calibri Light" w:hAnsi="Calibri Light" w:cs="Calibri Light"/>
                <w:color w:val="1F3A93"/>
              </w:rPr>
              <w:t xml:space="preserve">. </w:t>
            </w:r>
          </w:p>
          <w:p w14:paraId="049ADBAF" w14:textId="77777777" w:rsidR="0023378E" w:rsidRPr="00FA1EC6" w:rsidRDefault="0023378E" w:rsidP="008C534D">
            <w:pPr>
              <w:spacing w:before="120" w:after="120"/>
              <w:jc w:val="both"/>
              <w:rPr>
                <w:rFonts w:ascii="Calibri Light" w:hAnsi="Calibri Light" w:cs="Calibri Light"/>
                <w:color w:val="1F3A93"/>
              </w:rPr>
            </w:pPr>
            <w:r>
              <w:rPr>
                <w:rFonts w:ascii="Calibri Light" w:hAnsi="Calibri Light" w:cs="Calibri Light"/>
                <w:color w:val="1F3A93"/>
              </w:rPr>
              <w:t>The AIFM is expected to engage, by way of delegation, [[PortfolioManagerName]], a [[PortfolioManagerLegalForm]] company incorporated under the laws of [[</w:t>
            </w:r>
            <w:r>
              <w:rPr>
                <w:rFonts w:ascii="Calibri Light" w:hAnsi="Calibri Light" w:cs="Calibri Light"/>
                <w:b/>
                <w:bCs/>
                <w:color w:val="1F3A93"/>
              </w:rPr>
              <w:t>PortfolioManagerJurisdiction</w:t>
            </w:r>
            <w:r>
              <w:rPr>
                <w:rFonts w:ascii="Calibri Light" w:hAnsi="Calibri Light" w:cs="Calibri Light"/>
                <w:color w:val="1F3A93"/>
              </w:rPr>
              <w:t xml:space="preserve">]]</w:t>
            </w:r>
            <w:r>
              <w:rPr>
                <w:rFonts w:ascii="Calibri Light" w:hAnsi="Calibri Light" w:cs="Calibri Light"/>
                <w:color w:val="1F3A93"/>
              </w:rPr>
              <w:t xml:space="preserve"> to provide management or advisory services with respect to the Fund</w:t>
            </w:r>
            <w:r>
              <w:rPr>
                <w:rFonts w:ascii="Calibri Light" w:hAnsi="Calibri Light" w:cs="Calibri Light"/>
                <w:color w:val="1F3A93"/>
              </w:rPr>
              <w:t xml:space="preserve"> (</w:t>
            </w:r>
            <w:r>
              <w:rPr>
                <w:rFonts w:ascii="Calibri Light" w:hAnsi="Calibri Light" w:cs="Calibri Light"/>
                <w:color w:val="1F3A93"/>
              </w:rPr>
              <w:t xml:space="preserve">the “</w:t>
            </w:r>
            <w:r>
              <w:rPr>
                <w:rFonts w:ascii="Calibri Light" w:hAnsi="Calibri Light" w:cs="Calibri Light"/>
                <w:b/>
                <w:bCs/>
                <w:color w:val="1F3A93"/>
              </w:rPr>
              <w:t>Portfolio Manager</w:t>
            </w:r>
            <w:r>
              <w:rPr>
                <w:rFonts w:ascii="Calibri Light" w:hAnsi="Calibri Light" w:cs="Calibri Light"/>
                <w:color w:val="1F3A93"/>
              </w:rPr>
              <w:t>”), to serve as portfolio manager (subject to the supervision of the AIFM, which will retain risk management and certain other functions for itself).</w:t>
            </w:r>
          </w:p>
          <w:p w14:paraId="43EA6CF4" w14:textId="77777777" w:rsidR="0023378E" w:rsidRPr="00FA1EC6" w:rsidRDefault="0023378E" w:rsidP="008C534D">
            <w:pPr>
              <w:spacing w:before="120" w:after="120"/>
              <w:jc w:val="both"/>
              <w:rPr>
                <w:rFonts w:ascii="Calibri Light" w:hAnsi="Calibri Light" w:cs="Calibri Light"/>
                <w:color w:val="1F3A93"/>
              </w:rPr>
            </w:pPr>
            <w:r>
              <w:rPr>
                <w:rFonts w:ascii="Calibri Light" w:hAnsi="Calibri Light" w:cs="Calibri Light"/>
                <w:color w:val="1F3A93"/>
              </w:rPr>
              <w:t>The AIFM, the General Partner and the Portfolio Manager are expected to enter into an investment management agreement (the “</w:t>
            </w:r>
            <w:r>
              <w:rPr>
                <w:rFonts w:ascii="Calibri Light" w:hAnsi="Calibri Light" w:cs="Calibri Light"/>
                <w:b/>
                <w:bCs/>
                <w:color w:val="1F3A93"/>
              </w:rPr>
              <w:t>Management Agreement</w:t>
            </w:r>
            <w:r>
              <w:rPr>
                <w:rFonts w:ascii="Calibri Light" w:hAnsi="Calibri Light" w:cs="Calibri Light"/>
                <w:color w:val="1F3A93"/>
              </w:rPr>
              <w:t>”) pursuant to which the AIFM will delegate portfolio management to the Portfolio Manager.</w:t>
            </w:r>
          </w:p>
          <w:p w14:paraId="13629A75" w14:textId="77777777" w:rsidR="0023378E" w:rsidRPr="00FA1EC6" w:rsidRDefault="0023378E" w:rsidP="008C534D">
            <w:pPr>
              <w:spacing w:before="120" w:after="120"/>
              <w:jc w:val="both"/>
              <w:rPr>
                <w:rFonts w:ascii="Calibri Light" w:hAnsi="Calibri Light" w:cs="Calibri Light"/>
                <w:color w:val="1F3A93"/>
              </w:rPr>
            </w:pPr>
            <w:r>
              <w:rPr>
                <w:rFonts w:ascii="Calibri Light" w:hAnsi="Calibri Light" w:cs="Calibri Light"/>
                <w:color w:val="1F3A93"/>
              </w:rPr>
              <w:t>Pursuant to such delegation, and in view of the non-binding recommendations of the Investment Advisor, the Portfolio Manager will (subject to the terms of the Management Agreement) conduct portfolio management and investment decision-making in respect of the Fund.</w:t>
            </w:r>
          </w:p>
          <w:p w14:paraId="48CC3326" w14:textId="77777777" w:rsidR="0023378E" w:rsidRPr="00FA1EC6" w:rsidRDefault="0023378E" w:rsidP="008C534D">
            <w:pPr>
              <w:spacing w:before="120" w:after="120"/>
              <w:jc w:val="both"/>
              <w:rPr>
                <w:rFonts w:ascii="Calibri Light" w:hAnsi="Calibri Light" w:cs="Calibri Light"/>
                <w:color w:val="1F3A93"/>
              </w:rPr>
            </w:pP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5CD31EEE" w14:textId="77777777" w:rsidR="0023378E" w:rsidRPr="00FA1EC6" w:rsidRDefault="0023378E"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This row is optional and should only be included when an external portfolio manager (or investment advisor) is contemplated.</w:t>
            </w:r>
          </w:p>
          <w:p w14:paraId="2A568068" w14:textId="77777777" w:rsidR="0023378E" w:rsidRPr="00FA1EC6" w:rsidRDefault="0023378E"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In a RAIF or above-threshold AIF structure, the AIFM remains fully responsible for portfolio management and risk management functions under the AIFM Law and cannot fully delegate its liability. The AIFM may, however, delegate </w:t>
            </w:r>
            <w:r>
              <w:rPr>
                <w:rFonts w:ascii="Calibri Light" w:hAnsi="Calibri Light" w:cs="Calibri Light"/>
                <w:b/>
                <w:bCs/>
                <w:i/>
                <w:iCs/>
                <w:color w:val="1F3A93"/>
                <w:sz w:val="16"/>
                <w:szCs w:val="16"/>
              </w:rPr>
              <w:t>day-to-day portfolio management</w:t>
            </w:r>
            <w:r>
              <w:rPr>
                <w:rFonts w:ascii="Calibri Light" w:hAnsi="Calibri Light" w:cs="Calibri Light"/>
                <w:i/>
                <w:iCs/>
                <w:color w:val="1F3A93"/>
                <w:sz w:val="16"/>
                <w:szCs w:val="16"/>
              </w:rPr>
              <w:t xml:space="preserve"> (and sometimes investment decision-making) to a third-party Portfolio Manager, subject to prior notification to the CSSF (and, in certain cases, prior approval). The AIFM must retain risk management, oversight, and ultimate responsibility.</w:t>
            </w:r>
          </w:p>
          <w:p w14:paraId="5388D77E" w14:textId="77777777" w:rsidR="0023378E" w:rsidRPr="00FA1EC6" w:rsidRDefault="0023378E"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Key points to consider:</w:t>
            </w:r>
          </w:p>
          <w:p w14:paraId="43BFE214" w14:textId="77777777" w:rsidR="0023378E" w:rsidRPr="00FA1EC6" w:rsidRDefault="0023378E" w:rsidP="008C534D">
            <w:pPr>
              <w:numPr>
                <w:ilvl w:val="0"/>
                <w:numId w:val="6"/>
              </w:numPr>
              <w:tabs>
                <w:tab w:val="clear" w:pos="720"/>
                <w:tab w:val="num" w:pos="293"/>
              </w:tabs>
              <w:spacing w:before="120" w:after="120"/>
              <w:ind w:left="293" w:hanging="293"/>
              <w:jc w:val="both"/>
              <w:rPr>
                <w:rFonts w:ascii="Calibri Light" w:hAnsi="Calibri Light" w:cs="Calibri Light"/>
                <w:i/>
                <w:iCs/>
                <w:color w:val="1F3A93"/>
                <w:sz w:val="16"/>
                <w:szCs w:val="16"/>
              </w:rPr>
            </w:pPr>
            <w:r>
              <w:rPr>
                <w:rFonts w:ascii="Calibri Light" w:hAnsi="Calibri Light" w:cs="Calibri Light"/>
                <w:i/>
                <w:iCs/>
                <w:color w:val="1F3A93"/>
                <w:sz w:val="16"/>
                <w:szCs w:val="16"/>
              </w:rPr>
              <w:t>The Portfolio Manager is usually located outside Luxembourg (e.g., in the UK, US, Switzerland, or another EU Member State).</w:t>
            </w:r>
          </w:p>
          <w:p w14:paraId="3350E2EC" w14:textId="77777777" w:rsidR="0023378E" w:rsidRPr="00FA1EC6" w:rsidRDefault="0023378E" w:rsidP="008C534D">
            <w:pPr>
              <w:numPr>
                <w:ilvl w:val="0"/>
                <w:numId w:val="6"/>
              </w:numPr>
              <w:tabs>
                <w:tab w:val="clear" w:pos="720"/>
                <w:tab w:val="num" w:pos="293"/>
              </w:tabs>
              <w:spacing w:before="120" w:after="120"/>
              <w:ind w:left="293" w:hanging="293"/>
              <w:jc w:val="both"/>
              <w:rPr>
                <w:rFonts w:ascii="Calibri Light" w:hAnsi="Calibri Light" w:cs="Calibri Light"/>
                <w:i/>
                <w:iCs/>
                <w:color w:val="1F3A93"/>
                <w:sz w:val="16"/>
                <w:szCs w:val="16"/>
              </w:rPr>
            </w:pPr>
            <w:r>
              <w:rPr>
                <w:rFonts w:ascii="Calibri Light" w:hAnsi="Calibri Light" w:cs="Calibri Light"/>
                <w:i/>
                <w:iCs/>
                <w:color w:val="1F3A93"/>
                <w:sz w:val="16"/>
                <w:szCs w:val="16"/>
              </w:rPr>
              <w:t>The delegation must comply with AIFMD delegation rules (substance, conflicts, monitoring, and written agreement). AIFMD II (applicable from 16 April 2026) has tightened delegation requirements — confirm with the AIFM whether additional safeguards or notifications are needed.</w:t>
            </w:r>
          </w:p>
          <w:p w14:paraId="411E406A" w14:textId="77777777" w:rsidR="0023378E" w:rsidRPr="00FA1EC6" w:rsidRDefault="0023378E" w:rsidP="008C534D">
            <w:pPr>
              <w:numPr>
                <w:ilvl w:val="0"/>
                <w:numId w:val="6"/>
              </w:numPr>
              <w:tabs>
                <w:tab w:val="clear" w:pos="720"/>
                <w:tab w:val="num" w:pos="293"/>
              </w:tabs>
              <w:spacing w:before="120" w:after="120"/>
              <w:ind w:left="293" w:hanging="293"/>
              <w:jc w:val="both"/>
              <w:rPr>
                <w:rFonts w:ascii="Calibri Light" w:hAnsi="Calibri Light" w:cs="Calibri Light"/>
                <w:i/>
                <w:iCs/>
                <w:color w:val="1F3A93"/>
                <w:sz w:val="16"/>
                <w:szCs w:val="16"/>
              </w:rPr>
            </w:pPr>
            <w:r>
              <w:rPr>
                <w:rFonts w:ascii="Calibri Light" w:hAnsi="Calibri Light" w:cs="Calibri Light"/>
                <w:i/>
                <w:iCs/>
                <w:color w:val="1F3A93"/>
                <w:sz w:val="16"/>
                <w:szCs w:val="16"/>
              </w:rPr>
              <w:t>Any reference to the Investment Advisor must match the Investment Advisor row — non-binding recommendations are common but must not undermine the AIFM’s responsibility.</w:t>
            </w:r>
          </w:p>
          <w:p w14:paraId="409A03B1" w14:textId="77777777" w:rsidR="0023378E" w:rsidRPr="00FA1EC6" w:rsidRDefault="0023378E" w:rsidP="008C534D">
            <w:pPr>
              <w:numPr>
                <w:ilvl w:val="0"/>
                <w:numId w:val="6"/>
              </w:numPr>
              <w:tabs>
                <w:tab w:val="clear" w:pos="720"/>
                <w:tab w:val="num" w:pos="293"/>
              </w:tabs>
              <w:spacing w:before="120" w:after="120"/>
              <w:ind w:left="293" w:hanging="293"/>
              <w:jc w:val="both"/>
              <w:rPr>
                <w:rFonts w:ascii="Calibri Light" w:hAnsi="Calibri Light" w:cs="Calibri Light"/>
                <w:i/>
                <w:iCs/>
                <w:color w:val="1F3A93"/>
                <w:sz w:val="16"/>
                <w:szCs w:val="16"/>
              </w:rPr>
            </w:pPr>
            <w:r>
              <w:rPr>
                <w:rFonts w:ascii="Calibri Light" w:hAnsi="Calibri Light" w:cs="Calibri Light"/>
                <w:i/>
                <w:iCs/>
                <w:color w:val="1F3A93"/>
                <w:sz w:val="16"/>
                <w:szCs w:val="16"/>
              </w:rPr>
              <w:t>The Management Agreement (delegation agreement) should be reviewed by Luxembourg counsel to ensure it preserves the AIFM’s supervisory role and complies with regulatory requirements.</w:t>
            </w:r>
          </w:p>
        </w:tc>
      </w:tr>
      <w:tr w:rsidR="0023378E" w:rsidRPr="009B7F09" w14:paraId="109E10D8"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7864ED09" w14:textId="77777777" w:rsidR="003E428A" w:rsidRDefault="00FF0C49">
            <w:pPr>
              <w:spacing w:before="120" w:after="120"/>
              <w:rPr>
                <w:rFonts w:ascii="Calibri Light" w:hAnsi="Calibri Light" w:cs="Calibri Light"/>
                <w:b/>
                <w:bCs/>
                <w:color w:val="1F3A93"/>
              </w:rPr>
            </w:pPr>
            <w:r>
              <w:rPr>
                <w:rFonts w:ascii="Calibri Light" w:hAnsi="Calibri Light" w:cs="Calibri Light"/>
                <w:b/>
                <w:bCs/>
                <w:color w:val="1F3A93"/>
              </w:rPr>
              <w:t>Investment Advisor</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52E66549" w14:textId="77777777" w:rsidR="003E428A" w:rsidRDefault="00FF0C49">
            <w:pPr>
              <w:spacing w:before="120" w:after="120"/>
              <w:jc w:val="both"/>
              <w:rPr>
                <w:rFonts w:ascii="Calibri Light" w:hAnsi="Calibri Light" w:cs="Calibri Light"/>
                <w:color w:val="1F3A93"/>
              </w:rPr>
            </w:pPr>
            <w:r>
              <w:rPr>
                <w:rFonts w:ascii="Calibri Light" w:hAnsi="Calibri Light" w:cs="Calibri Light"/>
                <w:b/>
                <w:bCs/>
                <w:color w:val="1F3A93"/>
              </w:rPr>
              <w:t>[OPTIONAL — delete if not used]</w:t>
            </w:r>
            <w:r>
              <w:rPr>
                <w:rFonts w:ascii="Calibri Light" w:hAnsi="Calibri Light" w:cs="Calibri Light"/>
                <w:color w:val="1F3A93"/>
              </w:rPr>
              <w:t xml:space="preserve">. </w:t>
            </w:r>
          </w:p>
          <w:p w14:paraId="6BC87476" w14:textId="77777777" w:rsidR="003E428A" w:rsidRDefault="00FF0C49">
            <w:pPr>
              <w:spacing w:before="120" w:after="120"/>
              <w:jc w:val="both"/>
              <w:rPr>
                <w:rFonts w:ascii="Calibri Light" w:hAnsi="Calibri Light" w:cs="Calibri Light"/>
                <w:color w:val="1F3A93"/>
              </w:rPr>
            </w:pPr>
            <w:r>
              <w:rPr>
                <w:rFonts w:ascii="Calibri Light" w:hAnsi="Calibri Light" w:cs="Calibri Light"/>
                <w:b/>
                <w:bCs/>
                <w:color w:val="1F3A93"/>
              </w:rPr>
              <w:t>[If the Investment Advisor advises the AIFM:]</w:t>
            </w:r>
            <w:r>
              <w:rPr>
                <w:rFonts w:ascii="Calibri Light" w:hAnsi="Calibri Light" w:cs="Calibri Light"/>
                <w:color w:val="1F3A93"/>
              </w:rPr>
              <w:t xml:space="preserve"> [[InvestmentAdvisorName]] (the “</w:t>
            </w:r>
            <w:r>
              <w:rPr>
                <w:rFonts w:ascii="Calibri Light" w:hAnsi="Calibri Light" w:cs="Calibri Light"/>
                <w:b/>
                <w:bCs/>
                <w:color w:val="1F3A93"/>
              </w:rPr>
              <w:t>Investment Advisor</w:t>
            </w:r>
            <w:r>
              <w:rPr>
                <w:rFonts w:ascii="Calibri Light" w:hAnsi="Calibri Light" w:cs="Calibri Light"/>
                <w:color w:val="1F3A93"/>
              </w:rPr>
              <w:t xml:space="preserve">”) is expected to be appointed by the AIFM [with the consent of the General Partner] under an investment </w:t>
            </w:r>
            <w:r>
              <w:rPr>
                <w:rFonts w:ascii="Calibri Light" w:hAnsi="Calibri Light" w:cs="Calibri Light"/>
                <w:color w:val="1F3A93"/>
              </w:rPr>
              <w:t>advisory agreement to provide non-binding investment advice and recommendations to the AIFM [and the Portfolio Manager] in respect of the Fund.</w:t>
            </w:r>
          </w:p>
          <w:p w14:paraId="0428D5FF" w14:textId="77777777" w:rsidR="003E428A" w:rsidRDefault="00FF0C49">
            <w:pPr>
              <w:spacing w:before="120" w:after="120"/>
              <w:jc w:val="both"/>
              <w:rPr>
                <w:rFonts w:ascii="Calibri Light" w:hAnsi="Calibri Light" w:cs="Calibri Light"/>
                <w:color w:val="1F3A93"/>
              </w:rPr>
            </w:pPr>
            <w:r>
              <w:rPr>
                <w:rFonts w:ascii="Calibri Light" w:hAnsi="Calibri Light" w:cs="Calibri Light"/>
                <w:b/>
                <w:bCs/>
                <w:color w:val="1F3A93"/>
              </w:rPr>
              <w:t>[If the Investment Advisor advises the Fund directly:]</w:t>
            </w:r>
            <w:r>
              <w:rPr>
                <w:rFonts w:ascii="Calibri Light" w:hAnsi="Calibri Light" w:cs="Calibri Light"/>
                <w:color w:val="1F3A93"/>
              </w:rPr>
              <w:t xml:space="preserve"> [[InvestmentAdvisorName]] (the “</w:t>
            </w:r>
            <w:r>
              <w:rPr>
                <w:rFonts w:ascii="Calibri Light" w:hAnsi="Calibri Light" w:cs="Calibri Light"/>
                <w:b/>
                <w:bCs/>
                <w:color w:val="1F3A93"/>
              </w:rPr>
              <w:t>Investment Advisor</w:t>
            </w:r>
            <w:r>
              <w:rPr>
                <w:rFonts w:ascii="Calibri Light" w:hAnsi="Calibri Light" w:cs="Calibri Light"/>
                <w:color w:val="1F3A93"/>
              </w:rPr>
              <w:t>”) is expected to be appointed by the General Partner, acting on behalf of the Fund, under an investment advisory agreement to provide non-binding investment advice and recommendations to the General Partner in respect of the Fund.</w:t>
            </w:r>
          </w:p>
          <w:p w14:paraId="2DA64652" w14:textId="77777777" w:rsidR="003E428A" w:rsidRDefault="00FF0C49">
            <w:pPr>
              <w:spacing w:before="120" w:after="120"/>
              <w:jc w:val="both"/>
              <w:rPr>
                <w:rFonts w:ascii="Calibri Light" w:hAnsi="Calibri Light" w:cs="Calibri Light"/>
                <w:color w:val="1F3A93"/>
              </w:rPr>
            </w:pPr>
            <w:r>
              <w:rPr>
                <w:rFonts w:ascii="Calibri Light" w:hAnsi="Calibri Light" w:cs="Calibri Light"/>
                <w:color w:val="1F3A93"/>
              </w:rPr>
              <w:t>The Investment Advisor has no power to take investment decisions or to bind the Fund.</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5EE4717B" w14:textId="77777777" w:rsidR="003E428A" w:rsidRDefault="00FF0C49">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lastRenderedPageBreak/>
              <w:t>This row is optional and should only be included where an investment adviser is contemplated. Select one alternative and delete the other.</w:t>
            </w:r>
          </w:p>
          <w:p w14:paraId="7CE276A3" w14:textId="77777777" w:rsidR="003E428A" w:rsidRDefault="00FF0C49">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Adviser to the AIFM: the usual model for a RAIF or a SIF with an authorised AIFM. The AIFM (or the Portfolio Manager, where one is appointed) </w:t>
            </w:r>
            <w:r>
              <w:rPr>
                <w:rFonts w:ascii="Calibri Light" w:hAnsi="Calibri Light" w:cs="Calibri Light"/>
                <w:i/>
                <w:iCs/>
                <w:color w:val="1F3A93"/>
                <w:sz w:val="16"/>
                <w:szCs w:val="16"/>
              </w:rPr>
              <w:t>remains responsible for all investment decisions; the advisory agreement is typically entered into by the AIFM, often with the General Partner as a party.</w:t>
            </w:r>
          </w:p>
          <w:p w14:paraId="16EE4E31" w14:textId="77777777" w:rsidR="003E428A" w:rsidRDefault="00FF0C49">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Adviser to the Fund directly: the natural model for an unregulated SCS/SCSp (sub-threshold), where the General Partner is the registered manager and takes the investment decisions; also possible alongside an AIFM.</w:t>
            </w:r>
          </w:p>
          <w:p w14:paraId="4F3A74C2" w14:textId="77777777" w:rsidR="003E428A" w:rsidRDefault="00FF0C49">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In both cases the advice must remain non-binding. An adviser that in fact takes the investment decisions is managing the Fund and would itself need to be the (registered or authorised) manager or a duly appointed delegate. Align this row with the Investment Advisor Fee row and, where used, the Portfolio Manager row.</w:t>
            </w:r>
          </w:p>
        </w:tc>
      </w:tr>
      <w:tr w:rsidR="002031B7" w:rsidRPr="009B7F09" w14:paraId="6B890818"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1AF8E432" w14:textId="77777777" w:rsidR="002031B7" w:rsidRPr="00FA1EC6" w:rsidRDefault="002031B7" w:rsidP="005F01A8">
            <w:pPr>
              <w:spacing w:before="120" w:after="120"/>
              <w:rPr>
                <w:rFonts w:ascii="Calibri Light" w:hAnsi="Calibri Light" w:cs="Calibri Light"/>
                <w:color w:val="1F3A93"/>
              </w:rPr>
            </w:pPr>
            <w:r>
              <w:rPr>
                <w:rFonts w:ascii="Calibri Light" w:hAnsi="Calibri Light" w:cs="Calibri Light"/>
                <w:b/>
                <w:bCs/>
                <w:color w:val="1F3A93"/>
              </w:rPr>
              <w:t>Carry Vehicle</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59570EB4" w14:textId="77777777" w:rsidR="0023378E" w:rsidRPr="00FA1EC6"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[OPTIONAL — delete if not used]</w:t>
            </w:r>
            <w:r>
              <w:rPr>
                <w:rFonts w:ascii="Calibri Light" w:hAnsi="Calibri Light" w:cs="Calibri Light"/>
                <w:color w:val="1F3A93"/>
              </w:rPr>
              <w:t xml:space="preserve">. </w:t>
            </w:r>
          </w:p>
          <w:p w14:paraId="7BDC0699"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color w:val="1F3A93"/>
              </w:rPr>
              <w:t xml:space="preserve">A carried interest vehicle (the "Carry Vehicle") will be established as a Luxembourg </w:t>
            </w:r>
            <w:r>
              <w:rPr>
                <w:rFonts w:ascii="Calibri Light" w:hAnsi="Calibri Light" w:cs="Calibri Light"/>
                <w:b/>
                <w:bCs/>
                <w:color w:val="1F3A93"/>
              </w:rPr>
              <w:t>[SCS or SCSp]</w:t>
            </w:r>
            <w:r>
              <w:rPr>
                <w:rFonts w:ascii="Calibri Light" w:hAnsi="Calibri Light" w:cs="Calibri Light"/>
                <w:color w:val="1F3A93"/>
              </w:rPr>
              <w:t xml:space="preserve">, of which the General Partner will serve as general partner. </w:t>
            </w:r>
          </w:p>
          <w:p w14:paraId="42F61B69"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color w:val="1F3A93"/>
              </w:rPr>
              <w:t>The Carry Vehicle will hold the Carried Interest entitlement in the Fund on behalf of the investment team.</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7686607C" w14:textId="77777777" w:rsidR="007878A9" w:rsidRPr="00FA1EC6"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A separate carry vehicle is a common feature of private equity and real estate structures, allowing carried interest to be held and allocated among the team with a degree of flexibility. Whether one is used, and the form it takes, depends on the team composition, the relevant tax positions and the sponsor’s objectives. </w:t>
            </w:r>
          </w:p>
          <w:p w14:paraId="1C3070FB"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Confirm the tax treatment of carried interest distributions in the relevant jurisdictions of the team members.</w:t>
            </w:r>
          </w:p>
          <w:p w14:paraId="096B1172"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Delete this row entirely if the Fund does not use a carry vehicle or if carry is allocated directly to the GP.</w:t>
            </w:r>
          </w:p>
        </w:tc>
      </w:tr>
      <w:tr w:rsidR="002031B7" w:rsidRPr="009B7F09" w14:paraId="3514FE6F"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03087E14" w14:textId="77777777" w:rsidR="002031B7" w:rsidRPr="00FA1EC6" w:rsidRDefault="002031B7" w:rsidP="005F01A8">
            <w:pPr>
              <w:spacing w:before="120" w:after="120"/>
              <w:rPr>
                <w:rFonts w:ascii="Calibri Light" w:hAnsi="Calibri Light" w:cs="Calibri Light"/>
                <w:color w:val="1F3A93"/>
              </w:rPr>
            </w:pPr>
            <w:r>
              <w:rPr>
                <w:rFonts w:ascii="Calibri Light" w:hAnsi="Calibri Light" w:cs="Calibri Light"/>
                <w:b/>
                <w:bCs/>
                <w:color w:val="1F3A93"/>
              </w:rPr>
              <w:t>Advisory Committee</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77D97464" w14:textId="77777777" w:rsidR="008F5071" w:rsidRPr="00FA1EC6" w:rsidRDefault="002031B7" w:rsidP="008C534D">
            <w:pPr>
              <w:spacing w:before="120" w:after="120"/>
              <w:jc w:val="both"/>
              <w:rPr>
                <w:rFonts w:ascii="Calibri Light" w:hAnsi="Calibri Light" w:cs="Calibri Light"/>
                <w:color w:val="1F3A93"/>
              </w:rPr>
            </w:pPr>
            <w:r>
              <w:rPr>
                <w:rFonts w:ascii="Calibri Light" w:hAnsi="Calibri Light" w:cs="Calibri Light"/>
                <w:color w:val="1F3A93"/>
              </w:rPr>
              <w:t>The General Partner may, in its discretion, establish an advisory committee (the "</w:t>
            </w:r>
            <w:r>
              <w:rPr>
                <w:rFonts w:ascii="Calibri Light" w:hAnsi="Calibri Light" w:cs="Calibri Light"/>
                <w:b/>
                <w:bCs/>
                <w:color w:val="1F3A93"/>
              </w:rPr>
              <w:t>Advisory Committee</w:t>
            </w:r>
            <w:r>
              <w:rPr>
                <w:rFonts w:ascii="Calibri Light" w:hAnsi="Calibri Light" w:cs="Calibri Light"/>
                <w:color w:val="1F3A93"/>
              </w:rPr>
              <w:t>" or “</w:t>
            </w:r>
            <w:r>
              <w:rPr>
                <w:rFonts w:ascii="Calibri Light" w:hAnsi="Calibri Light" w:cs="Calibri Light"/>
                <w:b/>
                <w:bCs/>
                <w:color w:val="1F3A93"/>
              </w:rPr>
              <w:t>LPAC</w:t>
            </w:r>
            <w:r>
              <w:rPr>
                <w:rFonts w:ascii="Calibri Light" w:hAnsi="Calibri Light" w:cs="Calibri Light"/>
                <w:color w:val="1F3A93"/>
              </w:rPr>
              <w:t xml:space="preserve">”) comprising representatives of selected Limited Partners. The Advisory Committee will have the functions and powers set out in the LPA, including </w:t>
            </w:r>
            <w:r>
              <w:rPr>
                <w:rFonts w:ascii="Calibri Light" w:hAnsi="Calibri Light" w:cs="Calibri Light"/>
                <w:b/>
                <w:bCs/>
                <w:color w:val="1F3A93"/>
              </w:rPr>
              <w:t>[[approval of conflicts of interest, valuations, and material amendments]</w:t>
            </w:r>
            <w:r>
              <w:rPr>
                <w:rFonts w:ascii="Calibri Light" w:hAnsi="Calibri Light" w:cs="Calibri Light"/>
                <w:color w:val="1F3A93"/>
              </w:rPr>
              <w:t>].</w:t>
            </w:r>
          </w:p>
          <w:p w14:paraId="6C532A32" w14:textId="77777777" w:rsidR="008F5071" w:rsidRPr="00FA1EC6"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 xml:space="preserve">Composition and Quorum: </w:t>
            </w:r>
            <w:r>
              <w:rPr>
                <w:rFonts w:ascii="Calibri Light" w:hAnsi="Calibri Light" w:cs="Calibri Light"/>
                <w:color w:val="1F3A93"/>
              </w:rPr>
              <w:t xml:space="preserve">The Advisory Committee shall comprise </w:t>
            </w:r>
            <w:r>
              <w:rPr>
                <w:rFonts w:ascii="Calibri Light" w:hAnsi="Calibri Light" w:cs="Calibri Light"/>
                <w:b/>
                <w:bCs/>
                <w:color w:val="1F3A93"/>
              </w:rPr>
              <w:t>[[X]]</w:t>
            </w:r>
            <w:r>
              <w:rPr>
                <w:rFonts w:ascii="Calibri Light" w:hAnsi="Calibri Light" w:cs="Calibri Light"/>
                <w:color w:val="1F3A93"/>
              </w:rPr>
              <w:t xml:space="preserve"> members, each appointed by a Limited Partner (or group of Limited Partners) selected by the General Partner, having regard to the size and nature of their respective Commitments. A quorum for any meeting of the Advisory Committee shall be </w:t>
            </w:r>
            <w:r>
              <w:rPr>
                <w:rFonts w:ascii="Calibri Light" w:hAnsi="Calibri Light" w:cs="Calibri Light"/>
                <w:b/>
                <w:bCs/>
                <w:color w:val="1F3A93"/>
              </w:rPr>
              <w:t>[[a majority / two-thirds]]</w:t>
            </w:r>
            <w:r>
              <w:rPr>
                <w:rFonts w:ascii="Calibri Light" w:hAnsi="Calibri Light" w:cs="Calibri Light"/>
                <w:color w:val="1F3A93"/>
              </w:rPr>
              <w:t xml:space="preserve"> of the members then serving. Meetings may be held in person, by telephone, or by video conference.</w:t>
            </w:r>
          </w:p>
          <w:p w14:paraId="4D86B979" w14:textId="77777777" w:rsidR="00911F9A"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 xml:space="preserve">Voting Thresholds: </w:t>
            </w:r>
            <w:r>
              <w:rPr>
                <w:rFonts w:ascii="Calibri Light" w:hAnsi="Calibri Light" w:cs="Calibri Light"/>
                <w:color w:val="1F3A93"/>
              </w:rPr>
              <w:t xml:space="preserve">Unless otherwise specified in the LPA, decisions of the Advisory Committee shall be taken by </w:t>
            </w:r>
            <w:r>
              <w:rPr>
                <w:rFonts w:ascii="Calibri Light" w:hAnsi="Calibri Light" w:cs="Calibri Light"/>
                <w:b/>
                <w:bCs/>
                <w:color w:val="1F3A93"/>
              </w:rPr>
              <w:t>[[simple majority / two-thirds majority]]</w:t>
            </w:r>
            <w:r>
              <w:rPr>
                <w:rFonts w:ascii="Calibri Light" w:hAnsi="Calibri Light" w:cs="Calibri Light"/>
                <w:color w:val="1F3A93"/>
              </w:rPr>
              <w:t xml:space="preserve"> of members present and voting. Each member shall have one vote. The General Partner (or its representative) may attend meetings of the Advisory Committee but shall not be entitled to vote. The Advisory Committee has no management function and no power to bind the Fund in respect of third parties. Any approval or waiver given by it takes effect as an authorisation given to the managers for acts exceeding their powers in the cases provided for in the LPA, within the meaning of the fifth </w:t>
            </w:r>
            <w:r>
              <w:rPr>
                <w:rFonts w:ascii="Calibri Light" w:hAnsi="Calibri Light" w:cs="Calibri Light"/>
                <w:color w:val="1F3A93"/>
              </w:rPr>
              <w:t>subparagraph of [Article 310-3 (SCS) / Article 320-4 (SCSp)] of the 1915 Law. Its members act solely in the internal affairs of the Fund and nothing in the LPA authorises any Limited Partner or Advisory Committee member to carry out any act of management in respect of third parties within the meaning of [Article 310-3 (SCS) / Article 320-4 (SCSp)] of the 1915 Law.</w:t>
            </w:r>
          </w:p>
          <w:p w14:paraId="448633CB" w14:textId="77777777" w:rsidR="008F5071" w:rsidRPr="00FA1EC6"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Scope of Approval Rights</w:t>
            </w:r>
            <w:r>
              <w:rPr>
                <w:rFonts w:ascii="Calibri Light" w:hAnsi="Calibri Light" w:cs="Calibri Light"/>
                <w:color w:val="1F3A93"/>
              </w:rPr>
              <w:t>The Advisory Committee shall have the right to approve or waive, on behalf of all Limited Partners, the following matters:(i) conflicts of interest involving the General Partner, the AIFM, or their respective affiliates (including co-investment transactions, allocation of investment opportunities, and General Partner-affiliated transactions); (ii) extensions of the Investment Period beyond those permitted at the General Partner’s discretion; (iii) any material amendment to the LPA or the PPM or offering document (if any) not otherwise requiring Limited Partner consent;(iv) valuations in the absence of an independent market price or where the AIFM’s valuation methodology produces a result that is disputed;(v) approval of any replacement Key Person following a Key Person Event;(vi) such other matters as the LPA may specify.</w:t>
            </w:r>
          </w:p>
          <w:p w14:paraId="6B7DCE9B"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 xml:space="preserve">Confidentiality: </w:t>
            </w:r>
            <w:r>
              <w:rPr>
                <w:rFonts w:ascii="Calibri Light" w:hAnsi="Calibri Light" w:cs="Calibri Light"/>
                <w:color w:val="1F3A93"/>
              </w:rPr>
              <w:t>Each member of the Advisory Committee shall be bound by confidentiality obligations equivalent to those applicable to the General Partner under the LPA. Advisory Committee members shall not disclose any non-public information relating to the Fund, its investments, or the affairs of any Limited Partner to any third party (including to other investors represented by the same member) without the prior written consent of the General Partner, except as required by law or regulation.</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546C04AC" w14:textId="77777777" w:rsidR="008F5071" w:rsidRPr="00FA1EC6"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lastRenderedPageBreak/>
              <w:t>The Advisory Committee (or LPAC) is strongly recommended for institutional-grade funds. Typical functions: waiving conflicts of interest (GP-affiliated transactions, side letters); approving extensions of the Investment Period; reviewing fee structures; approving valuations in absence of market price. The LPAC has no management function – it is consultative/approving only. Failure to convene properly can expose the GP to LP claims.</w:t>
            </w:r>
          </w:p>
          <w:p w14:paraId="4EFC17C5" w14:textId="77777777" w:rsidR="008F5071" w:rsidRPr="00FA1EC6"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Quorum and Voting:</w:t>
            </w:r>
            <w:r>
              <w:rPr>
                <w:rFonts w:ascii="Calibri Light" w:hAnsi="Calibri Light" w:cs="Calibri Light"/>
                <w:i/>
                <w:iCs/>
                <w:color w:val="1F3A93"/>
                <w:sz w:val="16"/>
                <w:szCs w:val="16"/>
              </w:rPr>
              <w:t xml:space="preserve"> The quorum requirement (majority or two-thirds) and voting threshold should be calibrated to the expected committee size and investor composition. A simple majority is more operationally flexible; a supermajority provides greater LP protection but may lead to deadlock. Specify tie-breaking mechanics if an even number of members.</w:t>
            </w:r>
          </w:p>
          <w:p w14:paraId="3828BFE0" w14:textId="77777777" w:rsidR="008F5071" w:rsidRPr="00FA1EC6"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Scope of Approval Rights:</w:t>
            </w:r>
            <w:r>
              <w:rPr>
                <w:rFonts w:ascii="Calibri Light" w:hAnsi="Calibri Light" w:cs="Calibri Light"/>
                <w:i/>
                <w:iCs/>
                <w:color w:val="1F3A93"/>
                <w:sz w:val="16"/>
                <w:szCs w:val="16"/>
              </w:rPr>
              <w:t xml:space="preserve"> The scope of LPAC approval rights is a key negotiating point. Broader scope (covering fee waivers, co-investment allocation, secondary transfers) broadens the Advisory Committee's role but may constrain the General Partner's flexibility. Items requiring full LP vote (e.g., removal of GP, early termination) should not be delegated to the LPAC.</w:t>
            </w:r>
          </w:p>
          <w:p w14:paraId="0E55D004" w14:textId="77777777" w:rsidR="008F5071" w:rsidRPr="00FA1EC6"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Confidentiality:</w:t>
            </w:r>
            <w:r>
              <w:rPr>
                <w:rFonts w:ascii="Calibri Light" w:hAnsi="Calibri Light" w:cs="Calibri Light"/>
                <w:i/>
                <w:iCs/>
                <w:color w:val="1F3A93"/>
                <w:sz w:val="16"/>
                <w:szCs w:val="16"/>
              </w:rPr>
              <w:t xml:space="preserve"> LPAC members receive material non-public information about the Fund and its investments. Robust confidentiality provisions are essential to protect commercial sensitive </w:t>
            </w:r>
            <w:r>
              <w:rPr>
                <w:rFonts w:ascii="Calibri Light" w:hAnsi="Calibri Light" w:cs="Calibri Light"/>
                <w:i/>
                <w:iCs/>
                <w:color w:val="1F3A93"/>
                <w:sz w:val="16"/>
                <w:szCs w:val="16"/>
              </w:rPr>
              <w:t>information and to comply with the Fund’s own confidentiality obligations to portfolio companies and counterparties. Specify whether confidentiality survives termination of LPAC membership.</w:t>
            </w:r>
          </w:p>
          <w:p w14:paraId="0D19E28D"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b/>
                <w:bCs/>
                <w:i/>
                <w:iCs/>
                <w:color w:val="1F3A93"/>
                <w:sz w:val="16"/>
                <w:szCs w:val="16"/>
              </w:rPr>
              <w:t>Indemnification:</w:t>
            </w:r>
            <w:r>
              <w:rPr>
                <w:rFonts w:ascii="Calibri Light" w:hAnsi="Calibri Light" w:cs="Calibri Light"/>
                <w:i/>
                <w:iCs/>
                <w:color w:val="1F3A93"/>
                <w:sz w:val="16"/>
                <w:szCs w:val="16"/>
              </w:rPr>
              <w:t xml:space="preserve"> Consider whether LPAC members should be indemnified by the Fund for liabilities arising from their service.</w:t>
            </w:r>
          </w:p>
        </w:tc>
      </w:tr>
      <w:tr w:rsidR="002031B7" w:rsidRPr="009B7F09" w14:paraId="4A45EAD2"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0171BF8B" w14:textId="77777777" w:rsidR="002031B7" w:rsidRPr="00FA1EC6" w:rsidRDefault="002031B7" w:rsidP="005F01A8">
            <w:pPr>
              <w:spacing w:before="120" w:after="120"/>
              <w:rPr>
                <w:rFonts w:ascii="Calibri Light" w:hAnsi="Calibri Light" w:cs="Calibri Light"/>
                <w:color w:val="1F3A93"/>
              </w:rPr>
            </w:pPr>
            <w:r>
              <w:rPr>
                <w:rFonts w:ascii="Calibri Light" w:hAnsi="Calibri Light" w:cs="Calibri Light"/>
                <w:b/>
                <w:bCs/>
                <w:color w:val="1F3A93"/>
              </w:rPr>
              <w:t>Key Persons</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03CDFB76"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[OPTIONAL]</w:t>
            </w:r>
            <w:r>
              <w:rPr>
                <w:rFonts w:ascii="Calibri Light" w:hAnsi="Calibri Light" w:cs="Calibri Light"/>
                <w:color w:val="1F3A93"/>
              </w:rPr>
              <w:t xml:space="preserve">. The following individuals are designated as Key Persons: </w:t>
            </w:r>
            <w:r>
              <w:rPr>
                <w:rFonts w:ascii="Calibri Light" w:hAnsi="Calibri Light" w:cs="Calibri Light"/>
                <w:b/>
                <w:bCs/>
                <w:color w:val="1F3A93"/>
              </w:rPr>
              <w:t>[[KeyPersonNamesAndTitles]</w:t>
            </w:r>
            <w:r>
              <w:rPr>
                <w:rFonts w:ascii="Calibri Light" w:hAnsi="Calibri Light" w:cs="Calibri Light"/>
                <w:color w:val="1F3A93"/>
              </w:rPr>
              <w:t xml:space="preserve">]. A Key Person Event occurs if </w:t>
            </w:r>
            <w:r>
              <w:rPr>
                <w:rFonts w:ascii="Calibri Light" w:hAnsi="Calibri Light" w:cs="Calibri Light"/>
                <w:b/>
                <w:bCs/>
                <w:color w:val="1F3A93"/>
              </w:rPr>
              <w:t>[[any one / a majority]</w:t>
            </w:r>
            <w:r>
              <w:rPr>
                <w:rFonts w:ascii="Calibri Light" w:hAnsi="Calibri Light" w:cs="Calibri Light"/>
                <w:color w:val="1F3A93"/>
              </w:rPr>
              <w:t xml:space="preserve">] of the Key Persons ceases to devote substantially all of their professional time to the Fund. Upon a Key Person Event, the Investment Period shall be automatically suspended until the General Partner proposes a remedy and the Advisory Committee (or </w:t>
            </w:r>
            <w:r>
              <w:rPr>
                <w:rFonts w:ascii="Calibri Light" w:hAnsi="Calibri Light" w:cs="Calibri Light"/>
                <w:b/>
                <w:bCs/>
                <w:color w:val="1F3A93"/>
              </w:rPr>
              <w:t>[[majority / supermajority Limited Partner vote]</w:t>
            </w:r>
            <w:r>
              <w:rPr>
                <w:rFonts w:ascii="Calibri Light" w:hAnsi="Calibri Light" w:cs="Calibri Light"/>
                <w:color w:val="1F3A93"/>
              </w:rPr>
              <w:t>]) approves.</w:t>
            </w:r>
            <w:r>
              <w:rPr>
                <w:rFonts w:ascii="Calibri Light" w:hAnsi="Calibri Light" w:cs="Calibri Light"/>
                <w:color w:val="1F3A93"/>
              </w:rPr>
              <w:t xml:space="preserve"> If no remedy is approved within [[X months / 180 days]] of the Key Person Event, the Investment Period shall terminate automatically.</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103487AE"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Key person provisions protect investors against loss of the investment team that was the basis of their commitment decision. Drafting points: (i) define 'substantially all professional time' carefully; (ii) specify the remedy mechanism (replacement vs. wind-down); (iii) agree the voting threshold for reinstatement. Key person events can trigger LP no-fault removal rights if not resolved - check the interaction with the removal clause.</w:t>
            </w:r>
          </w:p>
        </w:tc>
      </w:tr>
      <w:tr w:rsidR="008F5071" w:rsidRPr="009B7F09" w14:paraId="680623B1"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774E553B" w14:textId="77777777" w:rsidR="008F5071" w:rsidRPr="00FA1EC6" w:rsidRDefault="008F5071" w:rsidP="005F01A8">
            <w:pPr>
              <w:spacing w:before="120" w:after="120"/>
              <w:rPr>
                <w:rFonts w:ascii="Calibri Light" w:hAnsi="Calibri Light" w:cs="Calibri Light"/>
                <w:b/>
                <w:bCs/>
                <w:color w:val="1F3A93"/>
              </w:rPr>
            </w:pPr>
            <w:r>
              <w:rPr>
                <w:rFonts w:ascii="Calibri Light" w:hAnsi="Calibri Light" w:cs="Calibri Light"/>
                <w:b/>
                <w:bCs/>
                <w:color w:val="1F3A93"/>
              </w:rPr>
              <w:t>GP Removal</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1328ADC6" w14:textId="77777777" w:rsidR="005065D9" w:rsidRPr="00FA1EC6" w:rsidRDefault="008F5071" w:rsidP="008C534D">
            <w:pPr>
              <w:spacing w:before="120" w:after="120"/>
              <w:jc w:val="both"/>
              <w:rPr>
                <w:rFonts w:ascii="Calibri Light" w:hAnsi="Calibri Light" w:cs="Calibri Light"/>
                <w:color w:val="1F3A93"/>
              </w:rPr>
            </w:pPr>
            <w:r>
              <w:rPr>
                <w:rFonts w:ascii="Calibri Light" w:hAnsi="Calibri Light" w:cs="Calibri Light"/>
                <w:b/>
                <w:bCs/>
                <w:color w:val="1F3A93"/>
              </w:rPr>
              <w:t xml:space="preserve">GP Removal for Cause: </w:t>
            </w:r>
            <w:r>
              <w:rPr>
                <w:rFonts w:ascii="Calibri Light" w:hAnsi="Calibri Light" w:cs="Calibri Light"/>
                <w:color w:val="1F3A93"/>
              </w:rPr>
              <w:t xml:space="preserve">The General Partner may be removed for Cause by a vote of Limited Partners holding </w:t>
            </w:r>
            <w:r>
              <w:rPr>
                <w:rFonts w:ascii="Calibri Light" w:hAnsi="Calibri Light" w:cs="Calibri Light"/>
                <w:b/>
                <w:bCs/>
                <w:color w:val="1F3A93"/>
              </w:rPr>
              <w:t>[[X%]]</w:t>
            </w:r>
            <w:r>
              <w:rPr>
                <w:rFonts w:ascii="Calibri Light" w:hAnsi="Calibri Light" w:cs="Calibri Light"/>
                <w:color w:val="1F3A93"/>
              </w:rPr>
              <w:t xml:space="preserve"> of Commitments (excluding the General Partner and its affiliates). </w:t>
            </w:r>
          </w:p>
          <w:p w14:paraId="1A9F49CB" w14:textId="77777777" w:rsidR="008F5071" w:rsidRPr="00FA1EC6" w:rsidRDefault="008F5071" w:rsidP="008C534D">
            <w:pPr>
              <w:spacing w:before="120" w:after="120"/>
              <w:jc w:val="both"/>
              <w:rPr>
                <w:rFonts w:ascii="Calibri Light" w:hAnsi="Calibri Light" w:cs="Calibri Light"/>
                <w:color w:val="1F3A93"/>
              </w:rPr>
            </w:pPr>
            <w:r>
              <w:rPr>
                <w:rFonts w:ascii="Calibri Light" w:hAnsi="Calibri Light" w:cs="Calibri Light"/>
                <w:color w:val="1F3A93"/>
              </w:rPr>
              <w:t>“</w:t>
            </w:r>
            <w:r>
              <w:rPr>
                <w:rFonts w:ascii="Calibri Light" w:hAnsi="Calibri Light" w:cs="Calibri Light"/>
                <w:b/>
                <w:bCs/>
                <w:color w:val="1F3A93"/>
              </w:rPr>
              <w:t>Cause</w:t>
            </w:r>
            <w:r>
              <w:rPr>
                <w:rFonts w:ascii="Calibri Light" w:hAnsi="Calibri Light" w:cs="Calibri Light"/>
                <w:color w:val="1F3A93"/>
              </w:rPr>
              <w:t xml:space="preserve">” means:(i) the General Partner’s fraud, wilful misconduct, gross negligence, or material breach of its </w:t>
            </w:r>
            <w:r>
              <w:rPr>
                <w:rFonts w:ascii="Calibri Light" w:hAnsi="Calibri Light" w:cs="Calibri Light"/>
                <w:color w:val="1F3A93"/>
              </w:rPr>
              <w:t xml:space="preserve">obligations under the LPA</w:t>
            </w:r>
            <w:r>
              <w:rPr>
                <w:rFonts w:ascii="Calibri Light" w:hAnsi="Calibri Light" w:cs="Calibri Light"/>
                <w:color w:val="1F3A93"/>
              </w:rPr>
              <w:t xml:space="preserve">;(ii) the General Partner’s material breach of the LPA that remains uncured for </w:t>
            </w:r>
            <w:r>
              <w:rPr>
                <w:rFonts w:ascii="Calibri Light" w:hAnsi="Calibri Light" w:cs="Calibri Light"/>
                <w:b/>
                <w:bCs/>
                <w:color w:val="1F3A93"/>
              </w:rPr>
              <w:t>[[X]]</w:t>
            </w:r>
            <w:r>
              <w:rPr>
                <w:rFonts w:ascii="Calibri Light" w:hAnsi="Calibri Light" w:cs="Calibri Light"/>
                <w:color w:val="1F3A93"/>
              </w:rPr>
              <w:t xml:space="preserve"> days following written notice from Limited Partners holding at least </w:t>
            </w:r>
            <w:r>
              <w:rPr>
                <w:rFonts w:ascii="Calibri Light" w:hAnsi="Calibri Light" w:cs="Calibri Light"/>
                <w:b/>
                <w:bCs/>
                <w:color w:val="1F3A93"/>
              </w:rPr>
              <w:t>[[X%]]</w:t>
            </w:r>
            <w:r>
              <w:rPr>
                <w:rFonts w:ascii="Calibri Light" w:hAnsi="Calibri Light" w:cs="Calibri Light"/>
                <w:color w:val="1F3A93"/>
              </w:rPr>
              <w:t xml:space="preserve"> of Commitments;(iii) the bankruptcy, insolvency, or dissolution of the General Partner;(iv) the General Partner or any Key Person being convicted of a criminal offence involving dishonesty</w:t>
            </w:r>
            <w:r>
              <w:rPr>
                <w:rFonts w:ascii="Calibri Light" w:hAnsi="Calibri Light" w:cs="Calibri Light"/>
                <w:color w:val="1F3A93"/>
              </w:rPr>
              <w:t xml:space="preserve">; or(v) the General Partner or the AIFM losing </w:t>
            </w:r>
            <w:r>
              <w:rPr>
                <w:rFonts w:ascii="Calibri Light" w:hAnsi="Calibri Light" w:cs="Calibri Light"/>
                <w:color w:val="1F3A93"/>
              </w:rPr>
              <w:t>any regulatory licence or authorisation necessary to manage the Fund.Upon removal for Cause, the General Partner shall cooperate in the orderly transition of management to a successor general partner and shall not be entitled to any removal fee or compensation beyond amounts accrued to the date of removal.</w:t>
            </w:r>
          </w:p>
          <w:p w14:paraId="6BDEA172" w14:textId="77777777" w:rsidR="008F5071" w:rsidRPr="00FA1EC6" w:rsidRDefault="008F5071" w:rsidP="008C534D">
            <w:pPr>
              <w:spacing w:before="120" w:after="120"/>
              <w:jc w:val="both"/>
              <w:rPr>
                <w:rFonts w:ascii="Calibri Light" w:hAnsi="Calibri Light" w:cs="Calibri Light"/>
                <w:color w:val="1F3A93"/>
              </w:rPr>
            </w:pPr>
            <w:r>
              <w:rPr>
                <w:rFonts w:ascii="Calibri Light" w:hAnsi="Calibri Light" w:cs="Calibri Light"/>
                <w:b/>
                <w:bCs/>
                <w:color w:val="1F3A93"/>
              </w:rPr>
              <w:t xml:space="preserve">No-Fault Removal: </w:t>
            </w:r>
            <w:r>
              <w:rPr>
                <w:rFonts w:ascii="Calibri Light" w:hAnsi="Calibri Light" w:cs="Calibri Light"/>
                <w:color w:val="1F3A93"/>
              </w:rPr>
              <w:t xml:space="preserve">The General Partner may be removed without Cause by a vote of Limited Partners holding </w:t>
            </w:r>
            <w:r>
              <w:rPr>
                <w:rFonts w:ascii="Calibri Light" w:hAnsi="Calibri Light" w:cs="Calibri Light"/>
                <w:b/>
                <w:bCs/>
                <w:color w:val="1F3A93"/>
              </w:rPr>
              <w:t>[[X% / X%]]</w:t>
            </w:r>
            <w:r>
              <w:rPr>
                <w:rFonts w:ascii="Calibri Light" w:hAnsi="Calibri Light" w:cs="Calibri Light"/>
                <w:color w:val="1F3A93"/>
              </w:rPr>
              <w:t xml:space="preserve"> of Commitments (excluding the General Partner and its affiliates), provided that:(i) no removal vote may be called during the first </w:t>
            </w:r>
            <w:r>
              <w:rPr>
                <w:rFonts w:ascii="Calibri Light" w:hAnsi="Calibri Light" w:cs="Calibri Light"/>
                <w:b/>
                <w:bCs/>
                <w:color w:val="1F3A93"/>
              </w:rPr>
              <w:t>[[X]]</w:t>
            </w:r>
            <w:r>
              <w:rPr>
                <w:rFonts w:ascii="Calibri Light" w:hAnsi="Calibri Light" w:cs="Calibri Light"/>
                <w:color w:val="1F3A93"/>
              </w:rPr>
              <w:t xml:space="preserve"> months following the Initial Closing (the “</w:t>
            </w:r>
            <w:r>
              <w:rPr>
                <w:rFonts w:ascii="Calibri Light" w:hAnsi="Calibri Light" w:cs="Calibri Light"/>
                <w:b/>
                <w:bCs/>
                <w:color w:val="1F3A93"/>
              </w:rPr>
              <w:t>Lock-Up Period</w:t>
            </w:r>
            <w:r>
              <w:rPr>
                <w:rFonts w:ascii="Calibri Light" w:hAnsi="Calibri Light" w:cs="Calibri Light"/>
                <w:color w:val="1F3A93"/>
              </w:rPr>
              <w:t xml:space="preserve">”);(ii) written notice of the proposed removal vote shall be given to the General Partner and all Limited Partners at least </w:t>
            </w:r>
            <w:r>
              <w:rPr>
                <w:rFonts w:ascii="Calibri Light" w:hAnsi="Calibri Light" w:cs="Calibri Light"/>
                <w:b/>
                <w:bCs/>
                <w:color w:val="1F3A93"/>
              </w:rPr>
              <w:t>[[X]]</w:t>
            </w:r>
            <w:r>
              <w:rPr>
                <w:rFonts w:ascii="Calibri Light" w:hAnsi="Calibri Light" w:cs="Calibri Light"/>
                <w:color w:val="1F3A93"/>
              </w:rPr>
              <w:t xml:space="preserve"> days prior to the vote; and(iii) the General Partner shall have the opportunity to address the Limited Partners in writing or in person prior to the vote.Upon a no-fault removal, the General Partner shall be entitled to receive:(a) all accrued and unpaid Management Fees to the date of removal;(b) </w:t>
            </w:r>
            <w:r>
              <w:rPr>
                <w:rFonts w:ascii="Calibri Light" w:hAnsi="Calibri Light" w:cs="Calibri Light"/>
                <w:b/>
                <w:bCs/>
                <w:color w:val="1F3A93"/>
              </w:rPr>
              <w:t>[[X% / X%]]</w:t>
            </w:r>
            <w:r>
              <w:rPr>
                <w:rFonts w:ascii="Calibri Light" w:hAnsi="Calibri Light" w:cs="Calibri Light"/>
                <w:color w:val="1F3A93"/>
              </w:rPr>
              <w:t xml:space="preserve"> of the Carried Interest that would have been payable on investments made prior to the date of removal, calculated as if such investments were realised at fair market value on the removal date (the “</w:t>
            </w:r>
            <w:r>
              <w:rPr>
                <w:rFonts w:ascii="Calibri Light" w:hAnsi="Calibri Light" w:cs="Calibri Light"/>
                <w:b/>
                <w:bCs/>
                <w:color w:val="1F3A93"/>
              </w:rPr>
              <w:t>Tail Carry</w:t>
            </w:r>
            <w:r>
              <w:rPr>
                <w:rFonts w:ascii="Calibri Light" w:hAnsi="Calibri Light" w:cs="Calibri Light"/>
                <w:color w:val="1F3A93"/>
              </w:rPr>
              <w:t>”); and(c) reimbursement of all properly incurred Fund Expenses to the date of removal.</w:t>
            </w:r>
          </w:p>
          <w:p w14:paraId="56E4952A" w14:textId="77777777" w:rsidR="008F5071" w:rsidRDefault="008F5071" w:rsidP="008C534D">
            <w:pPr>
              <w:spacing w:before="120" w:after="120"/>
              <w:jc w:val="both"/>
              <w:rPr>
                <w:rFonts w:ascii="Calibri Light" w:hAnsi="Calibri Light" w:cs="Calibri Light"/>
                <w:color w:val="1F3A93"/>
              </w:rPr>
            </w:pPr>
            <w:r>
              <w:rPr>
                <w:rFonts w:ascii="Calibri Light" w:hAnsi="Calibri Light" w:cs="Calibri Light"/>
                <w:b/>
                <w:bCs/>
                <w:color w:val="1F3A93"/>
              </w:rPr>
              <w:t>Successor General Partner</w:t>
            </w:r>
            <w:r>
              <w:rPr>
                <w:rFonts w:ascii="Calibri Light" w:hAnsi="Calibri Light" w:cs="Calibri Light"/>
                <w:color w:val="1F3A93"/>
              </w:rPr>
              <w:t xml:space="preserve">Following any removal of the General Partner (whether for Cause or without Cause), the Advisory Committee (or, if no Advisory Committee is established, Limited Partners holding a majority of Commitments) shall appoint a successor general partner within </w:t>
            </w:r>
            <w:r>
              <w:rPr>
                <w:rFonts w:ascii="Calibri Light" w:hAnsi="Calibri Light" w:cs="Calibri Light"/>
                <w:b/>
                <w:bCs/>
                <w:color w:val="1F3A93"/>
              </w:rPr>
              <w:t>[[X]]</w:t>
            </w:r>
            <w:r>
              <w:rPr>
                <w:rFonts w:ascii="Calibri Light" w:hAnsi="Calibri Light" w:cs="Calibri Light"/>
                <w:color w:val="1F3A93"/>
              </w:rPr>
              <w:t xml:space="preserve"> days. If no successor is appointed within such period, the Fund shall enter an orderly wind-down.</w:t>
            </w:r>
          </w:p>
          <w:p w14:paraId="1A3B44C0" w14:textId="77777777" w:rsidR="005F4A57" w:rsidRPr="00FA1EC6" w:rsidRDefault="005F4A57" w:rsidP="008C534D">
            <w:pPr>
              <w:spacing w:before="120" w:after="120"/>
              <w:jc w:val="both"/>
              <w:rPr>
                <w:rFonts w:ascii="Calibri Light" w:hAnsi="Calibri Light" w:cs="Calibri Light"/>
                <w:b/>
                <w:bCs/>
                <w:color w:val="1F3A93"/>
              </w:rPr>
            </w:pP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6EC94114" w14:textId="77777777" w:rsidR="00911F9A" w:rsidRDefault="008F5071"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lastRenderedPageBreak/>
              <w:t>GP Removal for Cause:</w:t>
            </w:r>
            <w:r>
              <w:rPr>
                <w:rFonts w:ascii="Calibri Light" w:hAnsi="Calibri Light" w:cs="Calibri Light"/>
                <w:i/>
                <w:iCs/>
                <w:color w:val="1F3A93"/>
                <w:sz w:val="16"/>
                <w:szCs w:val="16"/>
              </w:rPr>
              <w:t xml:space="preserve"> Removal for Cause is a core LP protection. The voting threshold, the scope of the ‘Cause’ definition and any cure mechanics are negotiated points that turn on the investor base and the sponsor’s bargaining position. The objective is a threshold high enough to deter opportunistic removal while remaining workable in cases of genuine misconduct.</w:t>
            </w:r>
          </w:p>
          <w:p w14:paraId="39D29979" w14:textId="77777777" w:rsidR="00911F9A" w:rsidRDefault="008F5071"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No-Fault Removal:</w:t>
            </w:r>
            <w:r>
              <w:rPr>
                <w:rFonts w:ascii="Calibri Light" w:hAnsi="Calibri Light" w:cs="Calibri Light"/>
                <w:i/>
                <w:iCs/>
                <w:color w:val="1F3A93"/>
                <w:sz w:val="16"/>
                <w:szCs w:val="16"/>
              </w:rPr>
              <w:t xml:space="preserve"> No-fault removal (or ‘LP no-fault divorce’) allows LPs to remove the GP without proving misconduct and operates as a governance backstop. The principal negotiating levers — the supermajority threshold, any lock-up period and the economics on removal — vary </w:t>
            </w:r>
            <w:r>
              <w:rPr>
                <w:rFonts w:ascii="Calibri Light" w:hAnsi="Calibri Light" w:cs="Calibri Light"/>
                <w:i/>
                <w:iCs/>
                <w:color w:val="1F3A93"/>
                <w:sz w:val="16"/>
                <w:szCs w:val="16"/>
              </w:rPr>
              <w:t>considerably with the investor base and the sponsor’s leverage.</w:t>
            </w:r>
          </w:p>
          <w:p w14:paraId="5F567E83" w14:textId="77777777" w:rsidR="00911F9A" w:rsidRDefault="008F5071"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Tail Carry:</w:t>
            </w:r>
            <w:r>
              <w:rPr>
                <w:rFonts w:ascii="Calibri Light" w:hAnsi="Calibri Light" w:cs="Calibri Light"/>
                <w:i/>
                <w:iCs/>
                <w:color w:val="1F3A93"/>
                <w:sz w:val="16"/>
                <w:szCs w:val="16"/>
              </w:rPr>
              <w:t xml:space="preserve"> The Tail Carry is the carry payable to a removed GP on pre-removal investments. Outcomes span the full range from forfeiture to full entitlement, and the position usually differs as between for-Cause and no-fault removal. The calibration is a heavily negotiated point that depends on the strategy, the stage of deployment and the relative bargaining positions of the parties.</w:t>
            </w:r>
          </w:p>
          <w:p w14:paraId="14405357" w14:textId="77777777" w:rsidR="00911F9A" w:rsidRDefault="008F5071"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Lock-Up Period:</w:t>
            </w:r>
            <w:r>
              <w:rPr>
                <w:rFonts w:ascii="Calibri Light" w:hAnsi="Calibri Light" w:cs="Calibri Light"/>
                <w:i/>
                <w:iCs/>
                <w:color w:val="1F3A93"/>
                <w:sz w:val="16"/>
                <w:szCs w:val="16"/>
              </w:rPr>
              <w:t xml:space="preserve"> A lock-up period before any no-fault removal vote gives the GP a fair opportunity to deploy capital and demonstrate performance. Its length is a negotiated point that reflects the strategy and the investor base. </w:t>
            </w:r>
          </w:p>
          <w:p w14:paraId="02C9EBBA" w14:textId="77777777" w:rsidR="008F5071" w:rsidRDefault="008F5071"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Successor GP:</w:t>
            </w:r>
            <w:r>
              <w:rPr>
                <w:rFonts w:ascii="Calibri Light" w:hAnsi="Calibri Light" w:cs="Calibri Light"/>
                <w:i/>
                <w:iCs/>
                <w:color w:val="1F3A93"/>
                <w:sz w:val="16"/>
                <w:szCs w:val="16"/>
              </w:rPr>
              <w:t xml:space="preserve"> The mechanics for appointing a successor GP should be specified clearly. The Advisory Committee is typically empowered to lead the process. If no successor is found, the Fund should wind down rather than continue without proper management.</w:t>
            </w:r>
          </w:p>
          <w:p w14:paraId="1764FE1D" w14:textId="77777777" w:rsidR="005F4A57" w:rsidRPr="00FA1EC6" w:rsidRDefault="005F4A57"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Where the general partner is subject to revocation, resignation, winding-up, insolvency, death, legal incapacity or any similar situation and there is no other general partner, the general partner must be replaced, provided it is stipulated that the partnership is to continue to exist. The LPA must therefore (i) state expressly that the Fund continues on removal or departure of the General Partner and (ii) set out the replacement mechanism. Absent such provisions, the president of the commercial chamber of the district court may, on the application of any interested party, appoint a temporary administrator limited to urgent and purely administrative measures, who must bring about a decision of the partners within fifteen days. The removal timetable should be built to avoid that outcome.</w:t>
            </w:r>
          </w:p>
          <w:p w14:paraId="18755337" w14:textId="77777777" w:rsidR="008F5071" w:rsidRPr="00FA1EC6" w:rsidRDefault="008F5071"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AIFM Implications:</w:t>
            </w:r>
            <w:r>
              <w:rPr>
                <w:rFonts w:ascii="Calibri Light" w:hAnsi="Calibri Light" w:cs="Calibri Light"/>
                <w:i/>
                <w:iCs/>
                <w:color w:val="1F3A93"/>
                <w:sz w:val="16"/>
                <w:szCs w:val="16"/>
              </w:rPr>
              <w:t xml:space="preserve"> Removal of the GP may trigger AIFM considerations — particularly if the GP and AIFM are affiliated. Confirm whether the AIFM appointment survives GP removal or whether a new AIFM must also be appointed. CSSF notification may be required. Statutory backstops for a RAIF: if the AIFM withdraws, is removed, ceases to be authorised or becomes insolvent and is not replaced within two months, the managers must apply to the District Court within three months for the dissolution and liquidation of the Fund (Article 4(3) of the RAIF Law). The same two-month replacement period and three-month application deadline apply to the depositary (Article 5(5)). Any transition plan on GP removal must be built around these periods.</w:t>
            </w:r>
          </w:p>
        </w:tc>
      </w:tr>
      <w:tr w:rsidR="002031B7" w:rsidRPr="009B7F09" w14:paraId="28392D57" w14:textId="77777777" w:rsidTr="479FEC54">
        <w:tc>
          <w:tcPr>
            <w:tcW w:w="0" w:type="auto"/>
            <w:gridSpan w:val="3"/>
            <w:tcBorders>
              <w:top w:val="single" w:sz="6" w:space="0" w:color="0D2240"/>
              <w:left w:val="single" w:sz="6" w:space="0" w:color="0D2240"/>
              <w:bottom w:val="single" w:sz="6" w:space="0" w:color="0D2240"/>
              <w:right w:val="single" w:sz="6" w:space="0" w:color="0D2240"/>
            </w:tcBorders>
            <w:shd w:val="clear" w:color="auto" w:fill="1F3A93"/>
            <w:tcMar>
              <w:top w:w="100" w:type="dxa"/>
              <w:left w:w="180" w:type="dxa"/>
              <w:bottom w:w="100" w:type="dxa"/>
              <w:right w:w="180" w:type="dxa"/>
            </w:tcMar>
          </w:tcPr>
          <w:p w14:paraId="4E943EC7" w14:textId="77777777" w:rsidR="002031B7" w:rsidRPr="009B7F09" w:rsidRDefault="002031B7" w:rsidP="00FA1EC6">
            <w:pPr>
              <w:tabs>
                <w:tab w:val="left" w:pos="2692"/>
              </w:tabs>
              <w:spacing w:before="120" w:after="120"/>
              <w:rPr>
                <w:rFonts w:ascii="Calibri Light" w:hAnsi="Calibri Light" w:cs="Calibri Light"/>
              </w:rPr>
            </w:pPr>
            <w:r>
              <w:rPr>
                <w:rFonts w:ascii="Calibri Light" w:hAnsi="Calibri Light" w:cs="Calibri Light"/>
                <w:b/>
                <w:bCs/>
                <w:color w:val="FFFFFF"/>
                <w:sz w:val="20"/>
                <w:szCs w:val="20"/>
              </w:rPr>
              <w:t>III.   INVESTMENT STRATEGY</w:t>
              <w:tab/>
            </w:r>
          </w:p>
        </w:tc>
      </w:tr>
      <w:tr w:rsidR="002031B7" w:rsidRPr="009B7F09" w14:paraId="36AB9C78"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348D1C4D" w14:textId="77777777" w:rsidR="002031B7" w:rsidRPr="00FA1EC6" w:rsidRDefault="002031B7" w:rsidP="005F01A8">
            <w:pPr>
              <w:spacing w:before="120" w:after="120"/>
              <w:rPr>
                <w:rFonts w:ascii="Calibri Light" w:hAnsi="Calibri Light" w:cs="Calibri Light"/>
                <w:color w:val="1F3A93"/>
              </w:rPr>
            </w:pPr>
            <w:r>
              <w:rPr>
                <w:rFonts w:ascii="Calibri Light" w:hAnsi="Calibri Light" w:cs="Calibri Light"/>
                <w:b/>
                <w:bCs/>
                <w:color w:val="1F3A93"/>
              </w:rPr>
              <w:t>Investment Objective</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24838A92"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 xml:space="preserve">[For SIF-like RAIF] </w:t>
            </w:r>
            <w:r>
              <w:rPr>
                <w:rFonts w:ascii="Calibri Light" w:hAnsi="Calibri Light" w:cs="Calibri Light"/>
                <w:color w:val="1F3A93"/>
              </w:rPr>
              <w:t xml:space="preserve">The Fund expects to invest in a variety of non-liquid investment strategies, each via a dedicated Compartment, with the aim of spreading investment risks in accordance with the provisions </w:t>
            </w:r>
            <w:r>
              <w:rPr>
                <w:rFonts w:ascii="Calibri Light" w:hAnsi="Calibri Light" w:cs="Calibri Light"/>
                <w:color w:val="1F3A93"/>
              </w:rPr>
              <w:t>hereof to the fullest extent permitted under the RAIF Law.</w:t>
            </w:r>
          </w:p>
          <w:p w14:paraId="6567B949" w14:textId="77777777" w:rsidR="002031B7" w:rsidRPr="00FA1EC6" w:rsidRDefault="007878A9" w:rsidP="008C534D">
            <w:pPr>
              <w:spacing w:before="120" w:after="120"/>
              <w:jc w:val="both"/>
              <w:rPr>
                <w:rFonts w:ascii="Calibri Light" w:hAnsi="Calibri Light" w:cs="Calibri Light"/>
                <w:color w:val="1F3A93"/>
              </w:rPr>
            </w:pPr>
            <w:r>
              <w:rPr>
                <w:rFonts w:ascii="Calibri Light" w:hAnsi="Calibri Light" w:cs="Calibri Light"/>
                <w:color w:val="1F3A93"/>
              </w:rPr>
              <w:t>[</w:t>
            </w:r>
            <w:r>
              <w:rPr>
                <w:rFonts w:ascii="Calibri Light" w:hAnsi="Calibri Light" w:cs="Calibri Light"/>
                <w:b/>
                <w:bCs/>
                <w:color w:val="1F3A93"/>
              </w:rPr>
              <w:t>At Compartment Level</w:t>
            </w:r>
            <w:r>
              <w:rPr>
                <w:rFonts w:ascii="Calibri Light" w:hAnsi="Calibri Light" w:cs="Calibri Light"/>
                <w:color w:val="1F3A93"/>
              </w:rPr>
              <w:t xml:space="preserve">] The Compartment seeks to achieve </w:t>
            </w:r>
            <w:r>
              <w:rPr>
                <w:rFonts w:ascii="Calibri Light" w:hAnsi="Calibri Light" w:cs="Calibri Light"/>
                <w:b/>
                <w:bCs/>
                <w:color w:val="1F3A93"/>
              </w:rPr>
              <w:t>[[target return / IRR objective]</w:t>
            </w:r>
            <w:r>
              <w:rPr>
                <w:rFonts w:ascii="Calibri Light" w:hAnsi="Calibri Light" w:cs="Calibri Light"/>
                <w:color w:val="1F3A93"/>
              </w:rPr>
              <w:t xml:space="preserve">] through </w:t>
            </w:r>
            <w:r>
              <w:rPr>
                <w:rFonts w:ascii="Calibri Light" w:hAnsi="Calibri Light" w:cs="Calibri Light"/>
                <w:b/>
                <w:bCs/>
                <w:color w:val="1F3A93"/>
              </w:rPr>
              <w:t>[[primary investment strategy — e.g. value-add real estate acquisitions / direct lending / buyout equity investments]</w:t>
            </w:r>
            <w:r>
              <w:rPr>
                <w:rFonts w:ascii="Calibri Light" w:hAnsi="Calibri Light" w:cs="Calibri Light"/>
                <w:color w:val="1F3A93"/>
              </w:rPr>
              <w:t xml:space="preserve">] in </w:t>
            </w:r>
            <w:r>
              <w:rPr>
                <w:rFonts w:ascii="Calibri Light" w:hAnsi="Calibri Light" w:cs="Calibri Light"/>
                <w:b/>
                <w:bCs/>
                <w:color w:val="1F3A93"/>
              </w:rPr>
              <w:t>[[target geography / sector]</w:t>
            </w:r>
            <w:r>
              <w:rPr>
                <w:rFonts w:ascii="Calibri Light" w:hAnsi="Calibri Light" w:cs="Calibri Light"/>
                <w:color w:val="1F3A93"/>
              </w:rPr>
              <w:t>].</w:t>
            </w:r>
          </w:p>
        </w:tc>
        <w:tc>
          <w:tcPr>
            <w:tcW w:w="326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573C12D7"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 xml:space="preserve">The investment objective is a key marketing and legal statement. It must be consistent across all Fund Documents and the AIFM Law Article 21 disclosure (where applicable). Vague or </w:t>
            </w:r>
            <w:r>
              <w:rPr>
                <w:rFonts w:ascii="Calibri Light" w:hAnsi="Calibri Light" w:cs="Calibri Light"/>
                <w:i/>
                <w:iCs/>
                <w:color w:val="1F3A93"/>
                <w:sz w:val="16"/>
                <w:szCs w:val="16"/>
              </w:rPr>
              <w:t>aspirational language should be avoided — regulators and investors will hold the Fund to what is stated. Align with the SFDR pre-contractual disclosure if Article 8 or 9 is selected.</w:t>
            </w:r>
          </w:p>
        </w:tc>
      </w:tr>
      <w:tr w:rsidR="002031B7" w:rsidRPr="009B7F09" w14:paraId="2B9AE3B4"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709E83AE" w14:textId="77777777" w:rsidR="002031B7" w:rsidRPr="00FA1EC6" w:rsidRDefault="002031B7" w:rsidP="005F01A8">
            <w:pPr>
              <w:spacing w:before="120" w:after="120"/>
              <w:rPr>
                <w:rFonts w:ascii="Calibri Light" w:hAnsi="Calibri Light" w:cs="Calibri Light"/>
                <w:color w:val="1F3A93"/>
              </w:rPr>
            </w:pPr>
            <w:r>
              <w:rPr>
                <w:rFonts w:ascii="Calibri Light" w:hAnsi="Calibri Light" w:cs="Calibri Light"/>
                <w:b/>
                <w:bCs/>
                <w:color w:val="1F3A93"/>
              </w:rPr>
              <w:t>Investment Strategy</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0C2E8D1F" w14:textId="77777777" w:rsidR="00527A19" w:rsidRPr="00FA1EC6" w:rsidRDefault="00527A19" w:rsidP="008C534D">
            <w:pPr>
              <w:spacing w:before="120" w:after="120"/>
              <w:jc w:val="both"/>
              <w:rPr>
                <w:rFonts w:ascii="Calibri Light" w:hAnsi="Calibri Light" w:cs="Calibri Light"/>
                <w:b/>
                <w:bCs/>
                <w:color w:val="1F3A93"/>
              </w:rPr>
            </w:pPr>
            <w:r>
              <w:rPr>
                <w:rFonts w:ascii="Calibri Light" w:hAnsi="Calibri Light" w:cs="Calibri Light"/>
                <w:b/>
                <w:bCs/>
                <w:color w:val="1F3A93"/>
              </w:rPr>
              <w:t xml:space="preserve">[For standalone structures] </w:t>
            </w:r>
            <w:r>
              <w:rPr>
                <w:rFonts w:ascii="Calibri Light" w:hAnsi="Calibri Light" w:cs="Calibri Light"/>
                <w:color w:val="1F3A93"/>
              </w:rPr>
              <w:t xml:space="preserve">The Fund will pursue its investment objective by </w:t>
            </w:r>
            <w:r>
              <w:rPr>
                <w:rFonts w:ascii="Calibri Light" w:hAnsi="Calibri Light" w:cs="Calibri Light"/>
                <w:b/>
                <w:bCs/>
                <w:color w:val="1F3A93"/>
              </w:rPr>
              <w:t>[[detailed description: deal sourcing approach, target asset type, value-creation approach, exit strategy]</w:t>
            </w:r>
            <w:r>
              <w:rPr>
                <w:rFonts w:ascii="Calibri Light" w:hAnsi="Calibri Light" w:cs="Calibri Light"/>
                <w:color w:val="1F3A93"/>
              </w:rPr>
              <w:t xml:space="preserve">]. Investments will be made through </w:t>
            </w:r>
            <w:r>
              <w:rPr>
                <w:rFonts w:ascii="Calibri Light" w:hAnsi="Calibri Light" w:cs="Calibri Light"/>
                <w:b/>
                <w:bCs/>
                <w:color w:val="1F3A93"/>
              </w:rPr>
              <w:t>[[direct acquisition / SPVs / co-investment structures]</w:t>
            </w:r>
            <w:r>
              <w:rPr>
                <w:rFonts w:ascii="Calibri Light" w:hAnsi="Calibri Light" w:cs="Calibri Light"/>
                <w:color w:val="1F3A93"/>
              </w:rPr>
              <w:t>].</w:t>
            </w:r>
          </w:p>
          <w:p w14:paraId="70E888BE" w14:textId="77777777" w:rsidR="002031B7" w:rsidRPr="00FA1EC6" w:rsidRDefault="00527A19" w:rsidP="008C534D">
            <w:pPr>
              <w:spacing w:before="120" w:after="120"/>
              <w:jc w:val="both"/>
              <w:rPr>
                <w:rFonts w:ascii="Calibri Light" w:hAnsi="Calibri Light" w:cs="Calibri Light"/>
                <w:color w:val="1F3A93"/>
              </w:rPr>
            </w:pPr>
            <w:r>
              <w:rPr>
                <w:rFonts w:ascii="Calibri Light" w:hAnsi="Calibri Light" w:cs="Calibri Light"/>
                <w:b/>
                <w:bCs/>
                <w:color w:val="1F3A93"/>
              </w:rPr>
              <w:t xml:space="preserve">[For umbrella structures] </w:t>
            </w:r>
            <w:r>
              <w:rPr>
                <w:rFonts w:ascii="Calibri Light" w:hAnsi="Calibri Light" w:cs="Calibri Light"/>
                <w:color w:val="1F3A93"/>
              </w:rPr>
              <w:t xml:space="preserve">The Compartment will pursue its investment objective by </w:t>
            </w:r>
            <w:r>
              <w:rPr>
                <w:rFonts w:ascii="Calibri Light" w:hAnsi="Calibri Light" w:cs="Calibri Light"/>
                <w:b/>
                <w:bCs/>
                <w:color w:val="1F3A93"/>
              </w:rPr>
              <w:t>[[detailed description: deal sourcing approach, target asset type, value-creation approach, exit strategy]</w:t>
            </w:r>
            <w:r>
              <w:rPr>
                <w:rFonts w:ascii="Calibri Light" w:hAnsi="Calibri Light" w:cs="Calibri Light"/>
                <w:color w:val="1F3A93"/>
              </w:rPr>
              <w:t xml:space="preserve">]. Investments will be made through </w:t>
            </w:r>
            <w:r>
              <w:rPr>
                <w:rFonts w:ascii="Calibri Light" w:hAnsi="Calibri Light" w:cs="Calibri Light"/>
                <w:b/>
                <w:bCs/>
                <w:color w:val="1F3A93"/>
              </w:rPr>
              <w:t>[[direct acquisition / SPVs / co-investment structures]</w:t>
            </w:r>
            <w:r>
              <w:rPr>
                <w:rFonts w:ascii="Calibri Light" w:hAnsi="Calibri Light" w:cs="Calibri Light"/>
                <w:color w:val="1F3A93"/>
              </w:rPr>
              <w:t>].</w:t>
            </w:r>
          </w:p>
        </w:tc>
        <w:tc>
          <w:tcPr>
            <w:tcW w:w="326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23D2E0DA" w14:textId="77777777" w:rsidR="002031B7" w:rsidRPr="00FA1EC6"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Description of the investment objective, investment strategy, restrictions, instruments by which the investments will be made, etc.</w:t>
            </w:r>
          </w:p>
          <w:p w14:paraId="6C08E089"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This section is the commercial heart of the term sheet. It should be specific enough to differentiate the strategy but not so restrictive that it prevents operational flexibility. Consider: asset class; deal size range; hold period; capital structure (equity/debt/mezzanine); use of SPVs; concentration limits; currency. The strategy in the term sheet should be consistent with — and will form the basis of — the PPM investment policy section.</w:t>
            </w:r>
          </w:p>
        </w:tc>
      </w:tr>
      <w:tr w:rsidR="002031B7" w:rsidRPr="009B7F09" w14:paraId="7BF3000F"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701E34A6" w14:textId="77777777" w:rsidR="002031B7" w:rsidRPr="00FA1EC6" w:rsidRDefault="002031B7" w:rsidP="005F01A8">
            <w:pPr>
              <w:spacing w:before="120" w:after="120"/>
              <w:rPr>
                <w:rFonts w:ascii="Calibri Light" w:hAnsi="Calibri Light" w:cs="Calibri Light"/>
                <w:color w:val="1F3A93"/>
              </w:rPr>
            </w:pPr>
            <w:r>
              <w:rPr>
                <w:rFonts w:ascii="Calibri Light" w:hAnsi="Calibri Light" w:cs="Calibri Light"/>
                <w:b/>
                <w:bCs/>
                <w:color w:val="1F3A93"/>
              </w:rPr>
              <w:t>Investment Restrictions</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51D6B05A" w14:textId="77777777" w:rsidR="00527A19" w:rsidRPr="00FA1EC6" w:rsidRDefault="00527A19" w:rsidP="008C534D">
            <w:pPr>
              <w:spacing w:before="120" w:after="120"/>
              <w:jc w:val="both"/>
              <w:rPr>
                <w:rFonts w:ascii="Calibri Light" w:hAnsi="Calibri Light" w:cs="Calibri Light"/>
                <w:b/>
                <w:bCs/>
                <w:color w:val="1F3A93"/>
              </w:rPr>
            </w:pPr>
            <w:r>
              <w:rPr>
                <w:rFonts w:ascii="Calibri Light" w:hAnsi="Calibri Light" w:cs="Calibri Light"/>
                <w:b/>
                <w:bCs/>
                <w:color w:val="1F3A93"/>
              </w:rPr>
              <w:t>Umbrella structures</w:t>
            </w:r>
          </w:p>
          <w:p w14:paraId="343843D7" w14:textId="77777777" w:rsidR="0080566C" w:rsidRPr="00FA1EC6"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[SIF-like RAIF]</w:t>
            </w:r>
            <w:r>
              <w:rPr>
                <w:rFonts w:ascii="Calibri Light" w:hAnsi="Calibri Light" w:cs="Calibri Light"/>
                <w:color w:val="1F3A93"/>
              </w:rPr>
              <w:t xml:space="preserve"> The Compartment invests in accordance with the principle of risk-spreading. The Compartment may not invest more than [[50%]] of its assets or aggregate commitments to subscribe in a single investment, issuer, or investment vehicle. [For a single infrastructure investment, this limit is raised to [[70%]] of the assets or aggregate commitments to subscribe of the Compartment.] These limits apply at all times following the expiry of the Ramp-Up Period and are calculated on a [[assets / commitments to subscribe]] basis, including on a look-through basis where investments are made through intermediary vehicles.</w:t>
            </w:r>
          </w:p>
          <w:p w14:paraId="6D8F4C18" w14:textId="77777777" w:rsidR="0080566C" w:rsidRPr="00FA1EC6" w:rsidRDefault="0080566C" w:rsidP="008C534D">
            <w:pPr>
              <w:spacing w:before="120" w:after="120"/>
              <w:jc w:val="both"/>
              <w:rPr>
                <w:rFonts w:ascii="Calibri Light" w:hAnsi="Calibri Light" w:cs="Calibri Light"/>
                <w:color w:val="1F3A93"/>
              </w:rPr>
            </w:pPr>
            <w:r>
              <w:rPr>
                <w:rFonts w:ascii="Calibri Light" w:hAnsi="Calibri Light" w:cs="Calibri Light"/>
                <w:b/>
                <w:bCs/>
                <w:color w:val="1F3A93"/>
              </w:rPr>
              <w:t>[SIF — well-informed / professional investor fund]</w:t>
            </w:r>
            <w:r>
              <w:rPr>
                <w:rFonts w:ascii="Calibri Light" w:hAnsi="Calibri Light" w:cs="Calibri Light"/>
                <w:color w:val="1F3A93"/>
              </w:rPr>
              <w:t xml:space="preserve"> The Compartment invests in accordance with the principle of risk-spreading pursuant to SIF Law and Circular CSSF 25/901. The Compartment may not invest more than [[50%]] of its assets or aggregate commitments to subscribe in a single investment, issuer, or investment vehicle. [For a single infrastructure investment, this limit is raised to [[70%]]]. These limits apply at all times following the expiry of the Ramp-Up Period. The CSSF may grant derogations from these limits on the basis of a duly motivated justification.</w:t>
            </w:r>
          </w:p>
          <w:p w14:paraId="2D672F61" w14:textId="77777777" w:rsidR="0080566C" w:rsidRPr="00FA1EC6" w:rsidRDefault="0080566C" w:rsidP="008C534D">
            <w:pPr>
              <w:spacing w:before="120" w:after="120"/>
              <w:jc w:val="both"/>
              <w:rPr>
                <w:rFonts w:ascii="Calibri Light" w:hAnsi="Calibri Light" w:cs="Calibri Light"/>
                <w:color w:val="1F3A93"/>
              </w:rPr>
            </w:pPr>
            <w:r>
              <w:rPr>
                <w:rFonts w:ascii="Calibri Light" w:hAnsi="Calibri Light" w:cs="Calibri Light"/>
                <w:b/>
                <w:bCs/>
                <w:color w:val="1F3A93"/>
              </w:rPr>
              <w:t>[SICAR-like RAIF]</w:t>
            </w:r>
            <w:r>
              <w:rPr>
                <w:rFonts w:ascii="Calibri Light" w:hAnsi="Calibri Light" w:cs="Calibri Light"/>
                <w:color w:val="1F3A93"/>
              </w:rPr>
              <w:t xml:space="preserve"> The Compartment is not subject to investment diversification requirements. The Compartment invests exclusively in risk capital within the meaning of the RAIF Law. There is no statutory restriction on concentration in a single investment or issuer. The constitutive documents should expressly provide that the exclusive object of the Fund is the investment of its funds in assets representing risk capital and that Article 48 of the RAIF Law applies to it, and the </w:t>
            </w:r>
            <w:r>
              <w:rPr>
                <w:rFonts w:ascii="Calibri Light" w:hAnsi="Calibri Light" w:cs="Calibri Light"/>
                <w:i/>
                <w:iCs/>
                <w:color w:val="1F3A93"/>
              </w:rPr>
              <w:t>réviseur d'entreprises agréé</w:t>
            </w:r>
            <w:r>
              <w:rPr>
                <w:rFonts w:ascii="Calibri Light" w:hAnsi="Calibri Light" w:cs="Calibri Light"/>
                <w:color w:val="1F3A93"/>
              </w:rPr>
              <w:t xml:space="preserve"> will certify compliance with that policy for each financial year.</w:t>
            </w:r>
          </w:p>
          <w:p w14:paraId="6A915D0D" w14:textId="77777777" w:rsidR="00527A19" w:rsidRPr="00FA1EC6" w:rsidRDefault="00527A19" w:rsidP="008C534D">
            <w:pPr>
              <w:spacing w:before="120" w:after="120"/>
              <w:jc w:val="both"/>
              <w:rPr>
                <w:rFonts w:ascii="Calibri Light" w:hAnsi="Calibri Light" w:cs="Calibri Light"/>
                <w:b/>
                <w:bCs/>
                <w:color w:val="1F3A93"/>
              </w:rPr>
            </w:pPr>
            <w:r>
              <w:rPr>
                <w:rFonts w:ascii="Calibri Light" w:hAnsi="Calibri Light" w:cs="Calibri Light"/>
                <w:b/>
                <w:bCs/>
                <w:color w:val="1F3A93"/>
              </w:rPr>
              <w:t>[Standalone Structure]</w:t>
            </w:r>
          </w:p>
          <w:p w14:paraId="65AB9A21" w14:textId="77777777" w:rsidR="0080566C" w:rsidRPr="00FA1EC6" w:rsidRDefault="0080566C" w:rsidP="008C534D">
            <w:pPr>
              <w:spacing w:before="120" w:after="120"/>
              <w:jc w:val="both"/>
              <w:rPr>
                <w:rFonts w:ascii="Calibri Light" w:hAnsi="Calibri Light" w:cs="Calibri Light"/>
                <w:color w:val="1F3A93"/>
              </w:rPr>
            </w:pPr>
            <w:r>
              <w:rPr>
                <w:rFonts w:ascii="Calibri Light" w:hAnsi="Calibri Light" w:cs="Calibri Light"/>
                <w:b/>
                <w:bCs/>
                <w:color w:val="1F3A93"/>
              </w:rPr>
              <w:lastRenderedPageBreak/>
              <w:t>[Unregulated SCS/SCSp (sub-threshold)]</w:t>
            </w:r>
            <w:r>
              <w:rPr>
                <w:rFonts w:ascii="Calibri Light" w:hAnsi="Calibri Light" w:cs="Calibri Light"/>
                <w:color w:val="1F3A93"/>
              </w:rPr>
              <w:t xml:space="preserve"> The Fund is not subject to any statutory investment diversification requirements. Any investment restrictions are contractual only and are set out in the LPA.</w:t>
            </w:r>
          </w:p>
        </w:tc>
        <w:tc>
          <w:tcPr>
            <w:tcW w:w="326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0344DF19" w14:textId="77777777" w:rsidR="0080566C" w:rsidRPr="00FA1EC6" w:rsidRDefault="0080566C"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lastRenderedPageBreak/>
              <w:t xml:space="preserve">Circular CSSF 25/901 (effective 19 December 2025) repeals Circular CSSF 07/309 in its entirety. The former 30% single-asset cap for SIFs no longer applies. Under point 8 of 25/901 the base limit for funds whose securities may be marketed to unsophisticated retail investors is 25% per entity, undertaking or asset (50% for a single infrastructure investment); point 11 raises those limits to 50% and 70% respectively for funds reserved to well-informed or professional investors. The 50%/70% figures used below are therefore the well-informed/professional limits, not the general position. For SIF and SIF-like structures reserved to well-informed or professional investors, the applicable limit under 25/901 is 50% per single issuer, entity, or asset, raised to 70% for a single infrastructure investment. </w:t>
            </w:r>
          </w:p>
          <w:p w14:paraId="042F8645" w14:textId="77777777" w:rsidR="0080566C" w:rsidRPr="00FA1EC6" w:rsidRDefault="0080566C"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RAIFs are </w:t>
            </w:r>
            <w:r>
              <w:rPr>
                <w:rFonts w:ascii="Calibri Light" w:hAnsi="Calibri Light" w:cs="Calibri Light"/>
                <w:b/>
                <w:bCs/>
                <w:i/>
                <w:iCs/>
                <w:color w:val="1F3A93"/>
                <w:sz w:val="16"/>
                <w:szCs w:val="16"/>
              </w:rPr>
              <w:t>not</w:t>
            </w:r>
            <w:r>
              <w:rPr>
                <w:rFonts w:ascii="Calibri Light" w:hAnsi="Calibri Light" w:cs="Calibri Light"/>
                <w:i/>
                <w:iCs/>
                <w:color w:val="1F3A93"/>
                <w:sz w:val="16"/>
                <w:szCs w:val="16"/>
              </w:rPr>
              <w:t xml:space="preserve"> within the scope of Circular CSSF 25/901. The RAIF Law does not lay down specific investment restrictions but requires compliance with the principle of risk-spreading (Article 1(1) of the RAIF Law). According to the commentary to Article 1 of bill No 6929 (which became the RAIF Law), RAIFs may draw on the CSSF's minimum diversification requirements for SIFs, then set out in Circular CSSF 07/309 and now in Circular CSSF 25/901, to interpret that principle. The limits of Circular CSSF 25/901 (50%/70%) may therefore serve as a reference for a SIF-like RAIF and should be stated expressly in the LPA and PPM. </w:t>
            </w:r>
          </w:p>
          <w:p w14:paraId="2E3EC3C9" w14:textId="77777777" w:rsidR="0080566C" w:rsidRPr="00FA1EC6" w:rsidRDefault="0080566C"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Calculation basis: 25/901 confirms the limits may be calculated on either an assets basis or a commitments-to-subscribe basis. The choice must be justified to and accepted by the CSSF for SIFs. For SIF-like RAIFs, specify the basis clearly in the LPA and PPM.</w:t>
            </w:r>
          </w:p>
          <w:p w14:paraId="38E9C1C3" w14:textId="77777777" w:rsidR="0080566C" w:rsidRPr="00FA1EC6" w:rsidRDefault="0080566C"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Look-through: 25/901 confirms that when using intermediary vehicles (SPVs, holding companies), the investment limits apply to the </w:t>
            </w:r>
            <w:r>
              <w:rPr>
                <w:rFonts w:ascii="Calibri Light" w:hAnsi="Calibri Light" w:cs="Calibri Light"/>
                <w:i/>
                <w:iCs/>
                <w:color w:val="1F3A93"/>
                <w:sz w:val="16"/>
                <w:szCs w:val="16"/>
              </w:rPr>
              <w:t>investments made through them, not to the vehicles themselves.</w:t>
            </w:r>
          </w:p>
          <w:p w14:paraId="7ABB38EE" w14:textId="77777777" w:rsidR="0080566C" w:rsidRPr="00FA1EC6" w:rsidRDefault="0080566C"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Infrastructure: the 70% infrastructure limit is new under 25/901. Define "infrastructure" in the LPA if relying on this higher threshold.</w:t>
            </w:r>
          </w:p>
          <w:p w14:paraId="7B83F7F2" w14:textId="77777777" w:rsidR="00CC4646" w:rsidRPr="00FA1EC6" w:rsidRDefault="00CC4646"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Note that SICAR like RAIF there is no statutory investment diversification requirement.</w:t>
            </w:r>
          </w:p>
          <w:p w14:paraId="10CBF7ED" w14:textId="77777777" w:rsidR="0080566C" w:rsidRPr="00FA1EC6" w:rsidRDefault="0080566C"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Delete the inapplicable options before circulating.</w:t>
            </w:r>
          </w:p>
        </w:tc>
      </w:tr>
      <w:tr w:rsidR="002031B7" w:rsidRPr="009B7F09" w14:paraId="28D426A9"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34562BCC" w14:textId="77777777" w:rsidR="002031B7" w:rsidRPr="00FA1EC6" w:rsidRDefault="002031B7" w:rsidP="005F01A8">
            <w:pPr>
              <w:spacing w:before="120" w:after="120"/>
              <w:rPr>
                <w:rFonts w:ascii="Calibri Light" w:hAnsi="Calibri Light" w:cs="Calibri Light"/>
                <w:color w:val="1F3A93"/>
              </w:rPr>
            </w:pPr>
            <w:r>
              <w:rPr>
                <w:rFonts w:ascii="Calibri Light" w:hAnsi="Calibri Light" w:cs="Calibri Light"/>
                <w:b/>
                <w:bCs/>
                <w:color w:val="1F3A93"/>
              </w:rPr>
              <w:t>Leverage</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68DAFDC2" w14:textId="77777777" w:rsidR="00527A19" w:rsidRPr="00FA1EC6" w:rsidRDefault="00527A19" w:rsidP="008C534D">
            <w:pPr>
              <w:spacing w:before="120" w:after="120"/>
              <w:jc w:val="both"/>
              <w:rPr>
                <w:rFonts w:ascii="Calibri Light" w:hAnsi="Calibri Light" w:cs="Calibri Light"/>
                <w:color w:val="1F3A93"/>
              </w:rPr>
            </w:pPr>
            <w:r>
              <w:rPr>
                <w:rFonts w:ascii="Calibri Light" w:hAnsi="Calibri Light" w:cs="Calibri Light"/>
                <w:color w:val="1F3A93"/>
              </w:rPr>
              <w:t xml:space="preserve">The Fund may incur borrowing (through bank facilities, bridge loans, asset-level financing, or otherwise) at the </w:t>
            </w:r>
            <w:r>
              <w:rPr>
                <w:rFonts w:ascii="Calibri Light" w:hAnsi="Calibri Light" w:cs="Calibri Light"/>
                <w:b/>
                <w:bCs/>
                <w:color w:val="1F3A93"/>
              </w:rPr>
              <w:t>[[Fund / Compartment / asset]</w:t>
            </w:r>
            <w:r>
              <w:rPr>
                <w:rFonts w:ascii="Calibri Light" w:hAnsi="Calibri Light" w:cs="Calibri Light"/>
                <w:color w:val="1F3A93"/>
              </w:rPr>
              <w:t xml:space="preserve">] level of up to </w:t>
            </w:r>
            <w:r>
              <w:rPr>
                <w:rFonts w:ascii="Calibri Light" w:hAnsi="Calibri Light" w:cs="Calibri Light"/>
                <w:b/>
                <w:bCs/>
                <w:color w:val="1F3A93"/>
              </w:rPr>
              <w:t>[[X%]</w:t>
            </w:r>
            <w:r>
              <w:rPr>
                <w:rFonts w:ascii="Calibri Light" w:hAnsi="Calibri Light" w:cs="Calibri Light"/>
                <w:color w:val="1F3A93"/>
              </w:rPr>
              <w:t xml:space="preserve">] of </w:t>
            </w:r>
            <w:r>
              <w:rPr>
                <w:rFonts w:ascii="Calibri Light" w:hAnsi="Calibri Light" w:cs="Calibri Light"/>
                <w:b/>
                <w:bCs/>
                <w:color w:val="1F3A93"/>
              </w:rPr>
              <w:t>[[NAV / Aggregate Commitments]</w:t>
            </w:r>
            <w:r>
              <w:rPr>
                <w:rFonts w:ascii="Calibri Light" w:hAnsi="Calibri Light" w:cs="Calibri Light"/>
                <w:color w:val="1F3A93"/>
              </w:rPr>
              <w:t>]. Leverage at asset level through portfolio company financing is not included in this cap for purposes of AIFMD reporting, but only where the conditions in Article 6(3) of Commission Delegated Regulation (EU) No 231/2013 are met. That exclusion is available only to an AIF whose core investment policy is to acquire control of non-listed companies or issuers, and only where the Fund or the AIFM acting on its behalf does not have to bear potential losses beyond its investment in the company or issuer concerned. Conversely, exposure contained in any financial or legal structure involving third parties controlled by the Fund must be included where that structure is specifically set up to increase the Fund’s exposure, directly or indirectly. A fund without a control-acquisition core policy - a private credit or minority-stake strategy, for instance - does not benefit from the exclusion, and the position must be confirmed with the AIFM for the actual structure rather than assumed. All leverage is disclosed in the AIFM Law Article 21 disclosure.</w:t>
            </w:r>
          </w:p>
          <w:p w14:paraId="3445F4B6"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color w:val="1F3A93"/>
              </w:rPr>
              <w:t>Certain Compartments may be permitted to permanently borrow (through loans, repurchase obligations or otherwise either directly or at the level of any intermediary vehicle) and for investment purposes as set forth in the relevant special section of the PPM or offering document, as applicable.</w:t>
            </w:r>
          </w:p>
        </w:tc>
        <w:tc>
          <w:tcPr>
            <w:tcW w:w="326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7AC9BFE8" w14:textId="77777777" w:rsidR="002031B7" w:rsidRPr="00FA1EC6" w:rsidRDefault="00527A19"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Subject to AIFMD look-through rules, leverage must be disclosed both in the PPM and the Article 21 investor disclosure. Two AIFMD leverage methods apply: gross and commitment. The Fund must set a maximum leverage level for each method and report regularly to the CSSF. Distinguish: (i) fund-level leverage (credit facilities secured against unfunded commitments); (ii) asset-level leverage (portfolio company or SPV debt). The LPA may cap leverage or require Advisory Committee approval above a set level.</w:t>
            </w:r>
          </w:p>
        </w:tc>
      </w:tr>
      <w:tr w:rsidR="002031B7" w:rsidRPr="009B7F09" w14:paraId="0933869E"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6DDBF324" w14:textId="77777777" w:rsidR="002031B7" w:rsidRPr="00FA1EC6" w:rsidRDefault="002031B7" w:rsidP="005F01A8">
            <w:pPr>
              <w:spacing w:before="120" w:after="120"/>
              <w:rPr>
                <w:rFonts w:ascii="Calibri Light" w:hAnsi="Calibri Light" w:cs="Calibri Light"/>
                <w:color w:val="1F3A93"/>
              </w:rPr>
            </w:pPr>
            <w:r>
              <w:rPr>
                <w:rFonts w:ascii="Calibri Light" w:hAnsi="Calibri Light" w:cs="Calibri Light"/>
                <w:b/>
                <w:bCs/>
                <w:color w:val="1F3A93"/>
              </w:rPr>
              <w:t>Co-Investments</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2A0B8C70"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color w:val="1F3A93"/>
              </w:rPr>
              <w:t xml:space="preserve">The General Partner may, in its sole discretion, offer co-investment opportunities to existing or prospective Limited Partners on such terms and conditions as the General Partner determines. </w:t>
            </w:r>
          </w:p>
          <w:p w14:paraId="18176EF2"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color w:val="1F3A93"/>
              </w:rPr>
              <w:t>[Co-investments will be offered on a no-fee / no-carry basis unless otherwise agreed by the relevant co-investor.]</w:t>
            </w:r>
          </w:p>
        </w:tc>
        <w:tc>
          <w:tcPr>
            <w:tcW w:w="326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5607ED9D"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Co-investment rights are a significant investor negotiating point. Key issues: (i) who gets offered co-invest (pro-rata vs. discretionary vs. named LPs); (ii) fee and carried interest treatment of co-investments; (iii) treatment of expenses and deal costs; (iv) timing of closing (must align with Fund close to avoid adverse selection). Co-investment rights may be granted by side letter.</w:t>
            </w:r>
          </w:p>
        </w:tc>
      </w:tr>
      <w:tr w:rsidR="002031B7" w:rsidRPr="009B7F09" w14:paraId="191BEF2A" w14:textId="77777777" w:rsidTr="479FEC54">
        <w:tc>
          <w:tcPr>
            <w:tcW w:w="0" w:type="auto"/>
            <w:gridSpan w:val="3"/>
            <w:tcBorders>
              <w:top w:val="single" w:sz="6" w:space="0" w:color="0D2240"/>
              <w:left w:val="single" w:sz="6" w:space="0" w:color="0D2240"/>
              <w:bottom w:val="single" w:sz="6" w:space="0" w:color="0D2240"/>
              <w:right w:val="single" w:sz="6" w:space="0" w:color="0D2240"/>
            </w:tcBorders>
            <w:shd w:val="clear" w:color="auto" w:fill="1F3A93"/>
            <w:tcMar>
              <w:top w:w="100" w:type="dxa"/>
              <w:left w:w="180" w:type="dxa"/>
              <w:bottom w:w="100" w:type="dxa"/>
              <w:right w:w="180" w:type="dxa"/>
            </w:tcMar>
          </w:tcPr>
          <w:p w14:paraId="18C00210" w14:textId="77777777" w:rsidR="002031B7" w:rsidRPr="009B7F09" w:rsidRDefault="002031B7" w:rsidP="005F01A8">
            <w:pPr>
              <w:spacing w:before="120" w:after="120"/>
              <w:rPr>
                <w:rFonts w:ascii="Calibri Light" w:hAnsi="Calibri Light" w:cs="Calibri Light"/>
              </w:rPr>
            </w:pPr>
            <w:r>
              <w:rPr>
                <w:rFonts w:ascii="Calibri Light" w:hAnsi="Calibri Light" w:cs="Calibri Light"/>
                <w:b/>
                <w:bCs/>
                <w:color w:val="FFFFFF"/>
                <w:sz w:val="20"/>
                <w:szCs w:val="20"/>
              </w:rPr>
              <w:t>IV.   FUND TIMELINE</w:t>
            </w:r>
          </w:p>
        </w:tc>
      </w:tr>
      <w:tr w:rsidR="002031B7" w:rsidRPr="009B7F09" w14:paraId="7F7CE9A1"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5FB2DF72" w14:textId="77777777" w:rsidR="002031B7" w:rsidRPr="00FA1EC6" w:rsidRDefault="002031B7" w:rsidP="005F01A8">
            <w:pPr>
              <w:spacing w:before="120" w:after="120"/>
              <w:rPr>
                <w:rFonts w:ascii="Calibri Light" w:hAnsi="Calibri Light" w:cs="Calibri Light"/>
                <w:color w:val="1F3A93"/>
              </w:rPr>
            </w:pPr>
            <w:r>
              <w:rPr>
                <w:rFonts w:ascii="Calibri Light" w:hAnsi="Calibri Light" w:cs="Calibri Light"/>
                <w:b/>
                <w:bCs/>
                <w:color w:val="1F3A93"/>
              </w:rPr>
              <w:t>Target Launch Date</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6C32F34D"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[[QX 202X]]</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79ACB779" w14:textId="77777777" w:rsidR="00B83F1F" w:rsidRPr="00FA1EC6"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The target launch date should be realistic given regulatory, operational, and commercial timelines. </w:t>
            </w:r>
          </w:p>
          <w:p w14:paraId="72078960" w14:textId="77777777" w:rsidR="002031B7" w:rsidRPr="00FA1EC6"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A RAIF can generally reach first close relatively quickly, as no CSSF product approval is required, </w:t>
            </w:r>
            <w:r>
              <w:rPr>
                <w:rFonts w:ascii="Calibri Light" w:hAnsi="Calibri Light" w:cs="Calibri Light"/>
                <w:i/>
                <w:iCs/>
                <w:color w:val="1F3A93"/>
                <w:sz w:val="16"/>
                <w:szCs w:val="16"/>
              </w:rPr>
              <w:t>but the timeline depends on the workstreams involved — documentation, GP incorporation, AIFM and depositary onboarding and investor AML. Complex investor bases and cross-border notifications should be factored into the planning.</w:t>
            </w:r>
          </w:p>
          <w:p w14:paraId="262E21C9" w14:textId="77777777" w:rsidR="00B83F1F" w:rsidRPr="00FA1EC6" w:rsidRDefault="00B83F1F"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A SIF requires CSSF prior authorisation before marketing and first close, which lengthens the route to market relative to a RAIF and should be sequenced carefully against the fundraising timetable. The authorisation file and expected duration depend on the strategy and the completeness of the submission, and are best scoped at the outset.</w:t>
            </w:r>
          </w:p>
          <w:p w14:paraId="52D2E3E0" w14:textId="77777777" w:rsidR="00B83F1F" w:rsidRPr="00FA1EC6" w:rsidRDefault="00B83F1F"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Unregulated SCSp (sub-threshold): typically the fastest to market, as no CSSF product authorisation is required. No CSSF product authorisation required. CSSF manager registration under Article 3(3) of the AIFM Law is required but can be done in parallel with fund setup. No depositary appointment required.</w:t>
            </w:r>
          </w:p>
        </w:tc>
      </w:tr>
      <w:tr w:rsidR="002031B7" w:rsidRPr="009B7F09" w14:paraId="7D29B1E3"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761BBCD9" w14:textId="77777777" w:rsidR="002031B7" w:rsidRPr="00FA1EC6" w:rsidRDefault="002031B7" w:rsidP="005F01A8">
            <w:pPr>
              <w:spacing w:before="120" w:after="120"/>
              <w:rPr>
                <w:rFonts w:ascii="Calibri Light" w:hAnsi="Calibri Light" w:cs="Calibri Light"/>
                <w:color w:val="1F3A93"/>
              </w:rPr>
            </w:pPr>
            <w:r>
              <w:rPr>
                <w:rFonts w:ascii="Calibri Light" w:hAnsi="Calibri Light" w:cs="Calibri Light"/>
                <w:b/>
                <w:bCs/>
                <w:color w:val="1F3A93"/>
              </w:rPr>
              <w:t>Initial Closing Date</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2128B84F"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color w:val="1F3A93"/>
              </w:rPr>
              <w:t xml:space="preserve">The Initial Closing is expected to occur on </w:t>
            </w:r>
            <w:r>
              <w:rPr>
                <w:rFonts w:ascii="Calibri Light" w:hAnsi="Calibri Light" w:cs="Calibri Light"/>
                <w:b/>
                <w:bCs/>
                <w:color w:val="1F3A93"/>
              </w:rPr>
              <w:t>[[date or estimated quarter]</w:t>
            </w:r>
            <w:r>
              <w:rPr>
                <w:rFonts w:ascii="Calibri Light" w:hAnsi="Calibri Light" w:cs="Calibri Light"/>
                <w:color w:val="1F3A93"/>
              </w:rPr>
              <w:t>]. The General Partner may determine the Initial Closing date in its sole discretion.</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323382B2"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The Initial Closing triggers the start of the Investment Period, the management fee clock (if applicable), and the admission of the first cohort of investors. Ensure that all investor subscriptions, AML/KYC, and commitment documentation are complete prior to Initial Closing. Investors admitted after the Initial Closing may be subject to equalisation interest (a catch-up contribution on prior drawdowns plus a notional return).</w:t>
            </w:r>
          </w:p>
        </w:tc>
      </w:tr>
      <w:tr w:rsidR="002031B7" w:rsidRPr="00FA1EC6" w14:paraId="3D547A5B"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439A5FC1" w14:textId="77777777" w:rsidR="002031B7" w:rsidRPr="00FA1EC6" w:rsidRDefault="002031B7" w:rsidP="005F01A8">
            <w:pPr>
              <w:spacing w:before="120" w:after="120"/>
              <w:rPr>
                <w:rFonts w:ascii="Calibri Light" w:hAnsi="Calibri Light" w:cs="Calibri Light"/>
                <w:color w:val="1F3A93"/>
              </w:rPr>
            </w:pPr>
            <w:r>
              <w:rPr>
                <w:rFonts w:ascii="Calibri Light" w:hAnsi="Calibri Light" w:cs="Calibri Light"/>
                <w:b/>
                <w:bCs/>
                <w:color w:val="1F3A93"/>
              </w:rPr>
              <w:t>Final Closing Date</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1458468F" w14:textId="77777777" w:rsidR="005065D9" w:rsidRPr="00FA1EC6" w:rsidRDefault="002031B7" w:rsidP="008C534D">
            <w:pPr>
              <w:spacing w:before="120" w:after="120"/>
              <w:jc w:val="both"/>
              <w:rPr>
                <w:rFonts w:ascii="Calibri Light" w:hAnsi="Calibri Light" w:cs="Calibri Light"/>
                <w:color w:val="1F3A93"/>
              </w:rPr>
            </w:pPr>
            <w:r>
              <w:rPr>
                <w:rFonts w:ascii="Calibri Light" w:hAnsi="Calibri Light" w:cs="Calibri Light"/>
                <w:color w:val="1F3A93"/>
              </w:rPr>
              <w:t xml:space="preserve">The Final Closing shall occur no later than </w:t>
            </w:r>
            <w:r>
              <w:rPr>
                <w:rFonts w:ascii="Calibri Light" w:hAnsi="Calibri Light" w:cs="Calibri Light"/>
                <w:b/>
                <w:bCs/>
                <w:color w:val="1F3A93"/>
              </w:rPr>
              <w:t>[[ months]</w:t>
            </w:r>
            <w:r>
              <w:rPr>
                <w:rFonts w:ascii="Calibri Light" w:hAnsi="Calibri Light" w:cs="Calibri Light"/>
                <w:color w:val="1F3A93"/>
              </w:rPr>
              <w:t xml:space="preserve">] following the Initial Closing, subject to a single extension of </w:t>
            </w:r>
            <w:r>
              <w:rPr>
                <w:rFonts w:ascii="Calibri Light" w:hAnsi="Calibri Light" w:cs="Calibri Light"/>
                <w:b/>
                <w:bCs/>
                <w:color w:val="1F3A93"/>
              </w:rPr>
              <w:t>[[X months]</w:t>
            </w:r>
            <w:r>
              <w:rPr>
                <w:rFonts w:ascii="Calibri Light" w:hAnsi="Calibri Light" w:cs="Calibri Light"/>
                <w:color w:val="1F3A93"/>
              </w:rPr>
              <w:t>] at the discretion of the General Partner (the "Final Closing Date”).</w:t>
            </w:r>
          </w:p>
          <w:p w14:paraId="19978E74" w14:textId="77777777" w:rsidR="00911F9A"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 xml:space="preserve">Equalisation for Subsequent Closings </w:t>
            </w:r>
            <w:r>
              <w:rPr>
                <w:rFonts w:ascii="Calibri Light" w:hAnsi="Calibri Light" w:cs="Calibri Light"/>
                <w:color w:val="1F3A93"/>
              </w:rPr>
              <w:t>Investors admitted to the Fund at any Closing after the Initial Closing (“</w:t>
            </w:r>
            <w:r>
              <w:rPr>
                <w:rFonts w:ascii="Calibri Light" w:hAnsi="Calibri Light" w:cs="Calibri Light"/>
                <w:b/>
                <w:bCs/>
                <w:color w:val="1F3A93"/>
              </w:rPr>
              <w:t>Subsequent Investors</w:t>
            </w:r>
            <w:r>
              <w:rPr>
                <w:rFonts w:ascii="Calibri Light" w:hAnsi="Calibri Light" w:cs="Calibri Light"/>
                <w:color w:val="1F3A93"/>
              </w:rPr>
              <w:t xml:space="preserve">”) shall pay to the Fund</w:t>
            </w:r>
            <w:r>
              <w:rPr>
                <w:rFonts w:ascii="Calibri Light" w:hAnsi="Calibri Light" w:cs="Calibri Light"/>
                <w:color w:val="1F3A93"/>
              </w:rPr>
              <w:t xml:space="preserve">: </w:t>
            </w:r>
            <w:r>
              <w:rPr>
                <w:rFonts w:ascii="Calibri Light" w:hAnsi="Calibri Light" w:cs="Calibri Light"/>
                <w:color w:val="1F3A93"/>
              </w:rPr>
              <w:t xml:space="preserve">(a) an amount equal to the aggregate capital calls that would have been made on them had they been admitted at the Initial Closing (the “</w:t>
            </w:r>
            <w:r>
              <w:rPr>
                <w:rFonts w:ascii="Calibri Light" w:hAnsi="Calibri Light" w:cs="Calibri Light"/>
                <w:b/>
                <w:bCs/>
                <w:color w:val="1F3A93"/>
              </w:rPr>
              <w:t>Catch-Up Contribution</w:t>
            </w:r>
            <w:r>
              <w:rPr>
                <w:rFonts w:ascii="Calibri Light" w:hAnsi="Calibri Light" w:cs="Calibri Light"/>
                <w:color w:val="1F3A93"/>
              </w:rPr>
              <w:t xml:space="preserve">”); and</w:t>
            </w:r>
            <w:r>
              <w:rPr>
                <w:rFonts w:ascii="Calibri Light" w:hAnsi="Calibri Light" w:cs="Calibri Light"/>
                <w:color w:val="1F3A93"/>
              </w:rPr>
              <w:t xml:space="preserve"> </w:t>
            </w:r>
            <w:r>
              <w:rPr>
                <w:rFonts w:ascii="Calibri Light" w:hAnsi="Calibri Light" w:cs="Calibri Light"/>
                <w:color w:val="1F3A93"/>
              </w:rPr>
              <w:t xml:space="preserve">(b) equalisation interest on the Catch-Up Contribution, calculated at a rate of </w:t>
            </w:r>
            <w:r>
              <w:rPr>
                <w:rFonts w:ascii="Calibri Light" w:hAnsi="Calibri Light" w:cs="Calibri Light"/>
                <w:b/>
                <w:bCs/>
                <w:color w:val="1F3A93"/>
              </w:rPr>
              <w:t>[[X%]]</w:t>
            </w:r>
            <w:r>
              <w:rPr>
                <w:rFonts w:ascii="Calibri Light" w:hAnsi="Calibri Light" w:cs="Calibri Light"/>
                <w:color w:val="1F3A93"/>
              </w:rPr>
              <w:t xml:space="preserve"> per annum </w:t>
            </w:r>
            <w:r>
              <w:rPr>
                <w:rFonts w:ascii="Calibri Light" w:hAnsi="Calibri Light" w:cs="Calibri Light"/>
                <w:b/>
                <w:bCs/>
                <w:color w:val="1F3A93"/>
              </w:rPr>
              <w:t>[[simple / compounded annually]]</w:t>
            </w:r>
            <w:r>
              <w:rPr>
                <w:rFonts w:ascii="Calibri Light" w:hAnsi="Calibri Light" w:cs="Calibri Light"/>
                <w:color w:val="1F3A93"/>
              </w:rPr>
              <w:t xml:space="preserve"> from the date of each prior capital call to the date of the Subsequent Closing (the “</w:t>
            </w:r>
            <w:r>
              <w:rPr>
                <w:rFonts w:ascii="Calibri Light" w:hAnsi="Calibri Light" w:cs="Calibri Light"/>
                <w:b/>
                <w:bCs/>
                <w:color w:val="1F3A93"/>
              </w:rPr>
              <w:t>Equalisation Interest</w:t>
            </w:r>
            <w:r>
              <w:rPr>
                <w:rFonts w:ascii="Calibri Light" w:hAnsi="Calibri Light" w:cs="Calibri Light"/>
                <w:color w:val="1F3A93"/>
              </w:rPr>
              <w:t>”).</w:t>
            </w:r>
          </w:p>
          <w:p w14:paraId="6640BBF3" w14:textId="77777777" w:rsidR="00911F9A"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 xml:space="preserve">Calculation Methodology </w:t>
            </w:r>
            <w:r>
              <w:rPr>
                <w:rFonts w:ascii="Calibri Light" w:hAnsi="Calibri Light" w:cs="Calibri Light"/>
                <w:color w:val="1F3A93"/>
              </w:rPr>
              <w:t xml:space="preserve">The Equalisation Interest shall be calculated by the Administration Agent as follows:(i) for each capital call made between the Initial Closing and the relevant Subsequent Closing, the notional amount that would have been called from the Subsequent Investor (based on its Commitment and the call percentage) shall be identified;(ii) the Equalisation Interest shall accrue on each such notional amount from the date of the original capital call to the date of the Subsequent Closing;(iii) the aggregate Equalisation Interest shall be the sum of the amounts calculated under (ii) above; and(iv) where Equalisation </w:t>
            </w:r>
            <w:r>
              <w:rPr>
                <w:rFonts w:ascii="Calibri Light" w:hAnsi="Calibri Light" w:cs="Calibri Light"/>
                <w:color w:val="1F3A93"/>
              </w:rPr>
              <w:t>Interest is compounded annually, compounding shall occur on each anniversary of the Initial Closing.</w:t>
            </w:r>
          </w:p>
          <w:p w14:paraId="5C7741E0" w14:textId="77777777" w:rsidR="00FA1EC6" w:rsidRPr="00FA1EC6"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 xml:space="preserve">Treatment in Waterfall </w:t>
            </w:r>
            <w:r>
              <w:rPr>
                <w:rFonts w:ascii="Calibri Light" w:hAnsi="Calibri Light" w:cs="Calibri Light"/>
                <w:color w:val="1F3A93"/>
              </w:rPr>
              <w:t>Equalisation Interest received by the Fund shall be distributed to Limited Partners who were admitted at prior Closings, pro rata to their Drawn Commitments as at the date of the Subsequent Closing. For the avoidance of doubt, Equalisation Interest does not form part of the invested capital of the Fund for purposes of calculating the Preferred Return or Carried Interest and is not subject to the Waterfall.</w:t>
            </w:r>
          </w:p>
          <w:p w14:paraId="66271E17"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 xml:space="preserve">Administrative Procedures </w:t>
            </w:r>
            <w:r>
              <w:rPr>
                <w:rFonts w:ascii="Calibri Light" w:hAnsi="Calibri Light" w:cs="Calibri Light"/>
                <w:color w:val="1F3A93"/>
              </w:rPr>
              <w:t xml:space="preserve">The Administration Agent shall issue a statement to each Subsequent Investor prior to each Subsequent Closing setting out: (i) the Catch-Up Contribution payable; (ii) the calculation of Equalisation Interest; and (iii) the total amount due. Payment shall be made by way of a single capital call notice issued not less than </w:t>
            </w:r>
            <w:r>
              <w:rPr>
                <w:rFonts w:ascii="Calibri Light" w:hAnsi="Calibri Light" w:cs="Calibri Light"/>
                <w:b/>
                <w:bCs/>
                <w:color w:val="1F3A93"/>
              </w:rPr>
              <w:t>[[X Business Days]]</w:t>
            </w:r>
            <w:r>
              <w:rPr>
                <w:rFonts w:ascii="Calibri Light" w:hAnsi="Calibri Light" w:cs="Calibri Light"/>
                <w:color w:val="1F3A93"/>
              </w:rPr>
              <w:t xml:space="preserve"> prior to the Subsequent Closing. The General Partner shall notify the Advisory Committee of each Subsequent Closing and the aggregate Equalisation Interest payable.</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05BA51E5" w14:textId="77777777" w:rsidR="00FA1EC6" w:rsidRPr="00FA1EC6"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lastRenderedPageBreak/>
              <w:t>The fundraising period between Initial and Final Closing, and any GP extension right, are calibrated to the strategy, fund size and profile of the manager. Extensions beyond the GP’s own discretion ordinarily require Advisory Committee or LP approval.</w:t>
            </w:r>
          </w:p>
          <w:p w14:paraId="57E46321" w14:textId="77777777" w:rsidR="00FA1EC6" w:rsidRPr="00FA1EC6"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Equalisation Mechanics:</w:t>
            </w:r>
            <w:r>
              <w:rPr>
                <w:rFonts w:ascii="Calibri Light" w:hAnsi="Calibri Light" w:cs="Calibri Light"/>
                <w:i/>
                <w:iCs/>
                <w:color w:val="1F3A93"/>
                <w:sz w:val="16"/>
                <w:szCs w:val="16"/>
              </w:rPr>
              <w:t xml:space="preserve"> Equalisation ensures that investors admitted at subsequent closings contribute their fair share of prior capital calls and compensate early investors for the time value of money. The catch-up contribution places the Subsequent Investor in the same economic position as if they had been admitted at the Initial Closing. The Equalisation Interest compensates early investors for having funded capital earlier.</w:t>
            </w:r>
          </w:p>
          <w:p w14:paraId="6FBBD7E1" w14:textId="77777777" w:rsidR="00FA1EC6" w:rsidRPr="00FA1EC6"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Rate and Basis:</w:t>
            </w:r>
            <w:r>
              <w:rPr>
                <w:rFonts w:ascii="Calibri Light" w:hAnsi="Calibri Light" w:cs="Calibri Light"/>
                <w:i/>
                <w:iCs/>
                <w:color w:val="1F3A93"/>
                <w:sz w:val="16"/>
                <w:szCs w:val="16"/>
              </w:rPr>
              <w:t xml:space="preserve"> The equalisation rate may be aligned with the Preferred Return; the basis (simple or compounded) should be specified. Whatever basis is adopted should be specified clearly to avoid later disputes.</w:t>
            </w:r>
          </w:p>
          <w:p w14:paraId="1455CC5A" w14:textId="77777777" w:rsidR="00FA1EC6" w:rsidRPr="00FA1EC6"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Waterfall Treatment:</w:t>
            </w:r>
            <w:r>
              <w:rPr>
                <w:rFonts w:ascii="Calibri Light" w:hAnsi="Calibri Light" w:cs="Calibri Light"/>
                <w:i/>
                <w:iCs/>
                <w:color w:val="1F3A93"/>
                <w:sz w:val="16"/>
                <w:szCs w:val="16"/>
              </w:rPr>
              <w:t xml:space="preserve"> Equalisation Interest is economically distinct from investment returns and may be distributed directly to earlier investors as compensation for funding ahead of subsequent closings, outside the Waterfall. Treatment varies between funds, so the chosen approach should be set out clearly and consistently across the documentation.</w:t>
            </w:r>
          </w:p>
          <w:p w14:paraId="3A8D44AE" w14:textId="77777777" w:rsidR="00FA1EC6" w:rsidRPr="00FA1EC6"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Administrative Process:</w:t>
            </w:r>
            <w:r>
              <w:rPr>
                <w:rFonts w:ascii="Calibri Light" w:hAnsi="Calibri Light" w:cs="Calibri Light"/>
                <w:i/>
                <w:iCs/>
                <w:color w:val="1F3A93"/>
                <w:sz w:val="16"/>
                <w:szCs w:val="16"/>
              </w:rPr>
              <w:t xml:space="preserve"> The Administration Agent should issue detailed equalisation </w:t>
            </w:r>
            <w:r>
              <w:rPr>
                <w:rFonts w:ascii="Calibri Light" w:hAnsi="Calibri Light" w:cs="Calibri Light"/>
                <w:i/>
                <w:iCs/>
                <w:color w:val="1F3A93"/>
                <w:sz w:val="16"/>
                <w:szCs w:val="16"/>
              </w:rPr>
              <w:t>calculations to each Subsequent Investor in advance of closing. Disputes are rare but can arise if the calculation methodology is unclear. Consider including a worked example in the PPM or as an annex to the LPA.</w:t>
            </w:r>
          </w:p>
          <w:p w14:paraId="58909296"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b/>
                <w:bCs/>
                <w:i/>
                <w:iCs/>
                <w:color w:val="1F3A93"/>
                <w:sz w:val="16"/>
                <w:szCs w:val="16"/>
              </w:rPr>
              <w:t>Interaction with Management Fee:</w:t>
            </w:r>
            <w:r>
              <w:rPr>
                <w:rFonts w:ascii="Calibri Light" w:hAnsi="Calibri Light" w:cs="Calibri Light"/>
                <w:i/>
                <w:iCs/>
                <w:color w:val="1F3A93"/>
                <w:sz w:val="16"/>
                <w:szCs w:val="16"/>
              </w:rPr>
              <w:t xml:space="preserve"> The treatment of management fees for the period before a subsequent investor’s admission varies between funds and should be addressed expressly in the fee provisions so that it is consistent with the equalisation mechanics.</w:t>
            </w:r>
          </w:p>
        </w:tc>
      </w:tr>
      <w:tr w:rsidR="002031B7" w:rsidRPr="00FA1EC6" w14:paraId="4047090B"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6CE6C42E" w14:textId="77777777" w:rsidR="002031B7" w:rsidRPr="00FA1EC6" w:rsidRDefault="002031B7" w:rsidP="005F01A8">
            <w:pPr>
              <w:spacing w:before="120" w:after="120"/>
              <w:rPr>
                <w:rFonts w:ascii="Calibri Light" w:hAnsi="Calibri Light" w:cs="Calibri Light"/>
                <w:color w:val="1F3A93"/>
              </w:rPr>
            </w:pPr>
            <w:r>
              <w:rPr>
                <w:rFonts w:ascii="Calibri Light" w:hAnsi="Calibri Light" w:cs="Calibri Light"/>
                <w:b/>
                <w:bCs/>
                <w:color w:val="1F3A93"/>
              </w:rPr>
              <w:t>Investment Period</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6C0111B8"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color w:val="1F3A93"/>
              </w:rPr>
              <w:t>The Investment Period shall commence on the Initial Closing and end on the [[X]] anniversary thereof (the "</w:t>
            </w:r>
            <w:r>
              <w:rPr>
                <w:rFonts w:ascii="Calibri Light" w:hAnsi="Calibri Light" w:cs="Calibri Light"/>
                <w:b/>
                <w:bCs/>
                <w:color w:val="1F3A93"/>
              </w:rPr>
              <w:t>Investment Period</w:t>
            </w:r>
            <w:r>
              <w:rPr>
                <w:rFonts w:ascii="Calibri Light" w:hAnsi="Calibri Light" w:cs="Calibri Light"/>
                <w:color w:val="1F3A93"/>
              </w:rPr>
              <w:t>"), subject to a single extension of up to [[X year(s)]] at the discretion of the General Partner.</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0011A72D"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The Investment Period is the window during which the GP may make new investments (drawdown commitments for new deals). After expiration, the GP may only draw capital for follow-on investments, expenses, management fees, and capital calls on existing investments. Extension requires Advisory Committee approval in many LPAs. Early termination of the Investment Period may occur upon a Key Person Event (if not resolved) or LP no-fault removal vote.</w:t>
            </w:r>
          </w:p>
        </w:tc>
      </w:tr>
      <w:tr w:rsidR="002031B7" w:rsidRPr="00FA1EC6" w14:paraId="139FAA9B"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0032BE79" w14:textId="77777777" w:rsidR="002031B7" w:rsidRPr="00FA1EC6" w:rsidRDefault="002031B7" w:rsidP="005F01A8">
            <w:pPr>
              <w:spacing w:before="120" w:after="120"/>
              <w:rPr>
                <w:rFonts w:ascii="Calibri Light" w:hAnsi="Calibri Light" w:cs="Calibri Light"/>
                <w:color w:val="1F3A93"/>
              </w:rPr>
            </w:pPr>
            <w:r>
              <w:rPr>
                <w:rFonts w:ascii="Calibri Light" w:hAnsi="Calibri Light" w:cs="Calibri Light"/>
                <w:b/>
                <w:bCs/>
                <w:color w:val="1F3A93"/>
              </w:rPr>
              <w:t>Ramp-Up Period</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35C1D00B" w14:textId="77777777" w:rsidR="005A2404" w:rsidRPr="00FA1EC6" w:rsidRDefault="005A2404" w:rsidP="008C534D">
            <w:pPr>
              <w:spacing w:before="120" w:after="120"/>
              <w:jc w:val="both"/>
              <w:rPr>
                <w:rFonts w:ascii="Calibri Light" w:hAnsi="Calibri Light" w:cs="Calibri Light"/>
                <w:color w:val="1F3A93"/>
              </w:rPr>
            </w:pPr>
            <w:r>
              <w:rPr>
                <w:rFonts w:ascii="Calibri Light" w:hAnsi="Calibri Light" w:cs="Calibri Light"/>
                <w:color w:val="1F3A93"/>
              </w:rPr>
              <w:t>[</w:t>
            </w:r>
            <w:r>
              <w:rPr>
                <w:rFonts w:ascii="Calibri Light" w:hAnsi="Calibri Light" w:cs="Calibri Light"/>
                <w:b/>
                <w:bCs/>
                <w:color w:val="1F3A93"/>
              </w:rPr>
              <w:t>RAIF / SIF investing in liquid assets</w:t>
            </w:r>
            <w:r>
              <w:rPr>
                <w:rFonts w:ascii="Calibri Light" w:hAnsi="Calibri Light" w:cs="Calibri Light"/>
                <w:color w:val="1F3A93"/>
              </w:rPr>
              <w:t>]: A ramp-up period of up to [[X months]] commencing on the Initial Closing Date shall apply, during which the Compartment's investment diversification requirements are not required to be met (the "</w:t>
            </w:r>
            <w:r>
              <w:rPr>
                <w:rFonts w:ascii="Calibri Light" w:hAnsi="Calibri Light" w:cs="Calibri Light"/>
                <w:b/>
                <w:bCs/>
                <w:color w:val="1F3A93"/>
              </w:rPr>
              <w:t>Ramp-Up Period</w:t>
            </w:r>
            <w:r>
              <w:rPr>
                <w:rFonts w:ascii="Calibri Light" w:hAnsi="Calibri Light" w:cs="Calibri Light"/>
                <w:color w:val="1F3A93"/>
              </w:rPr>
              <w:t>").</w:t>
            </w:r>
          </w:p>
          <w:p w14:paraId="675716A7" w14:textId="77777777" w:rsidR="003276B0" w:rsidRPr="00FA1EC6" w:rsidRDefault="003276B0" w:rsidP="008C534D">
            <w:pPr>
              <w:spacing w:before="120" w:after="120"/>
              <w:jc w:val="both"/>
              <w:rPr>
                <w:rFonts w:ascii="Calibri Light" w:hAnsi="Calibri Light" w:cs="Calibri Light"/>
                <w:color w:val="1F3A93"/>
              </w:rPr>
            </w:pPr>
            <w:r>
              <w:rPr>
                <w:rFonts w:ascii="Calibri Light" w:hAnsi="Calibri Light" w:cs="Calibri Light"/>
                <w:color w:val="1F3A93"/>
              </w:rPr>
              <w:t>[</w:t>
            </w:r>
            <w:r>
              <w:rPr>
                <w:rFonts w:ascii="Calibri Light" w:hAnsi="Calibri Light" w:cs="Calibri Light"/>
                <w:i/>
                <w:iCs/>
                <w:color w:val="1F3A93"/>
              </w:rPr>
              <w:t>note: Circular 25/901 uses date of first subscription as the trigger for CSSF-supervised vehicles; for RAIFs, the LPA may use Initial Closing Date as a proxy — confirm alignment between LPA and PPM</w:t>
            </w:r>
            <w:r>
              <w:rPr>
                <w:rFonts w:ascii="Calibri Light" w:hAnsi="Calibri Light" w:cs="Calibri Light"/>
                <w:color w:val="1F3A93"/>
              </w:rPr>
              <w:t>]</w:t>
            </w:r>
          </w:p>
          <w:p w14:paraId="130CF909" w14:textId="77777777" w:rsidR="005A2404" w:rsidRPr="00FA1EC6" w:rsidRDefault="005A2404" w:rsidP="008C534D">
            <w:pPr>
              <w:spacing w:before="120" w:after="120"/>
              <w:jc w:val="both"/>
              <w:rPr>
                <w:rFonts w:ascii="Calibri Light" w:hAnsi="Calibri Light" w:cs="Calibri Light"/>
                <w:color w:val="1F3A93"/>
              </w:rPr>
            </w:pPr>
            <w:r>
              <w:rPr>
                <w:rFonts w:ascii="Calibri Light" w:hAnsi="Calibri Light" w:cs="Calibri Light"/>
                <w:b/>
                <w:bCs/>
                <w:color w:val="1F3A93"/>
              </w:rPr>
              <w:t>[SIF-like RAIF / SIF investing in private / illiquid assets]:</w:t>
            </w:r>
            <w:r>
              <w:rPr>
                <w:rFonts w:ascii="Calibri Light" w:hAnsi="Calibri Light" w:cs="Calibri Light"/>
                <w:color w:val="1F3A93"/>
              </w:rPr>
              <w:t xml:space="preserve"> A ramp-up period of up to [[four (4) years]] commencing on the Initial Closing Date shall apply, during which the Compartment's investment diversification requirements and/or portfolio composition metrics are not required to be met (the "</w:t>
            </w:r>
            <w:r>
              <w:rPr>
                <w:rFonts w:ascii="Calibri Light" w:hAnsi="Calibri Light" w:cs="Calibri Light"/>
                <w:b/>
                <w:bCs/>
                <w:color w:val="1F3A93"/>
              </w:rPr>
              <w:t>Ramp-Up Period</w:t>
            </w:r>
            <w:r>
              <w:rPr>
                <w:rFonts w:ascii="Calibri Light" w:hAnsi="Calibri Light" w:cs="Calibri Light"/>
                <w:color w:val="1F3A93"/>
              </w:rPr>
              <w:t xml:space="preserve">"). [In exceptional circumstances, the Ramp-Up Period may be extended by up to one (1) additional year, subject to [</w:t>
            </w:r>
            <w:r>
              <w:rPr>
                <w:rFonts w:ascii="Calibri Light" w:hAnsi="Calibri Light" w:cs="Calibri Light"/>
                <w:color w:val="1F3A93"/>
              </w:rPr>
              <w:t xml:space="preserve">Advisory Committee consent / Limited Partner approval</w:t>
            </w:r>
            <w:r>
              <w:rPr>
                <w:rFonts w:ascii="Calibri Light" w:hAnsi="Calibri Light" w:cs="Calibri Light"/>
                <w:color w:val="1F3A93"/>
              </w:rPr>
              <w:t xml:space="preserve"> — delete as applicable] and adequate justification.] The Ramp-Up Period and any extension must be expressly provided for in the Fund Documents.</w:t>
            </w:r>
          </w:p>
          <w:p w14:paraId="73BA851D" w14:textId="77777777" w:rsidR="003276B0" w:rsidRPr="00FA1EC6" w:rsidRDefault="003276B0" w:rsidP="008C534D">
            <w:pPr>
              <w:spacing w:before="120" w:after="120"/>
              <w:jc w:val="both"/>
              <w:rPr>
                <w:rFonts w:ascii="Calibri Light" w:hAnsi="Calibri Light" w:cs="Calibri Light"/>
                <w:i/>
                <w:iCs/>
                <w:color w:val="1F3A93"/>
              </w:rPr>
            </w:pPr>
            <w:r>
              <w:rPr>
                <w:rFonts w:ascii="Calibri Light" w:hAnsi="Calibri Light" w:cs="Calibri Light"/>
                <w:i/>
                <w:iCs/>
                <w:color w:val="1F3A93"/>
              </w:rPr>
              <w:t xml:space="preserve">[note: Circular 25/901 uses date of first subscription as the trigger for CSSF-supervised vehicles; for RAIFs, the </w:t>
            </w:r>
            <w:r>
              <w:rPr>
                <w:rFonts w:ascii="Calibri Light" w:hAnsi="Calibri Light" w:cs="Calibri Light"/>
                <w:i/>
                <w:iCs/>
                <w:color w:val="1F3A93"/>
              </w:rPr>
              <w:t>LPA may use Initial Closing Date as a proxy — confirm alignment between LPA and PPM]</w:t>
            </w:r>
          </w:p>
          <w:p w14:paraId="5591A83D" w14:textId="77777777" w:rsidR="005A2404" w:rsidRPr="00FA1EC6" w:rsidRDefault="005A2404" w:rsidP="008C534D">
            <w:pPr>
              <w:spacing w:before="120" w:after="120"/>
              <w:jc w:val="both"/>
              <w:rPr>
                <w:rFonts w:ascii="Calibri Light" w:hAnsi="Calibri Light" w:cs="Calibri Light"/>
                <w:color w:val="1F3A93"/>
              </w:rPr>
            </w:pPr>
            <w:r>
              <w:rPr>
                <w:rFonts w:ascii="Calibri Light" w:hAnsi="Calibri Light" w:cs="Calibri Light"/>
                <w:b/>
                <w:bCs/>
                <w:color w:val="1F3A93"/>
              </w:rPr>
              <w:t>[Unregulated SCS/SCSp (sub-threshold)]:</w:t>
            </w:r>
            <w:r>
              <w:rPr>
                <w:rFonts w:ascii="Calibri Light" w:hAnsi="Calibri Light" w:cs="Calibri Light"/>
                <w:color w:val="1F3A93"/>
              </w:rPr>
              <w:t xml:space="preserve"> A build-up period of [[X months / years]] commencing on the Final Closing Date shall apply, during which portfolio composition targets are not required to be met. This period is contractual only and does not derive from any statutory requirement.</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4FF00BFE" w14:textId="77777777" w:rsidR="008B0F8B" w:rsidRPr="00FA1EC6"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lastRenderedPageBreak/>
              <w:t>The ramp-up period is a regulatory grace period before concentration / diversification requirements bite. This is particularly relevant for SIF and SIF-like RAIFs, where the 50% single-asset cap applies once the ramp-up ends.</w:t>
            </w:r>
          </w:p>
          <w:p w14:paraId="4708F553" w14:textId="77777777" w:rsidR="0073162E" w:rsidRPr="00FA1EC6"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Circular 25/901 codifies ramp-up practice for CSSF-supervised vehicles as follows: up to 12 months following launch where the main purpose of the fund or compartment is to invest in assets eligible under the UCITS Directive (the launch date in principle coinciding with the date of the first subscription); and up to 4 years following launch for funds investing in private/illiquid assets, with a possible one-year extension in exceptional circumstances subject to adequate justification and CSSF approval. </w:t>
            </w:r>
          </w:p>
          <w:p w14:paraId="3DB85A21" w14:textId="77777777" w:rsidR="0073162E" w:rsidRPr="00FA1EC6" w:rsidRDefault="0073162E"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For SIF-like RAIFs (not directly bound by 25/901), the four-year ramp-up for private asset funds may now be acceptable. The ramp-up period must be expressly provided for in the Fund Documents. During the ramp-up period, investment limits do not apply, provided this is foreseen in the documentation. </w:t>
            </w:r>
          </w:p>
          <w:p w14:paraId="646669D2" w14:textId="77777777" w:rsidR="003276B0" w:rsidRPr="00FA1EC6" w:rsidRDefault="005A2404"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The trigger date matters: Circular 25/901 uses date of the launch of the fund or compartment (not INITIAL Closing Date per se) as the start of the ramp-up.  Circular Point 16 of 25/901 also </w:t>
            </w:r>
            <w:r>
              <w:rPr>
                <w:rFonts w:ascii="Calibri Light" w:hAnsi="Calibri Light" w:cs="Calibri Light"/>
                <w:i/>
                <w:iCs/>
                <w:color w:val="1F3A93"/>
                <w:sz w:val="16"/>
                <w:szCs w:val="16"/>
              </w:rPr>
              <w:t>allows the sales document to provide that the investment limits cease to apply during the wind-down period where the fund makes private investments. The template does not currently address wind-down; consider adding it alongside the ramp-up provisions.</w:t>
            </w:r>
          </w:p>
          <w:p w14:paraId="47F68238" w14:textId="77777777" w:rsidR="005A2404" w:rsidRPr="00FA1EC6" w:rsidRDefault="003276B0"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For RAIFs, the LPA may use the Initial Closing Date as the contractual trigger for the ramp-up period and the LPA and PPM should align to ensure this corresponds to the launch of the Fund, as this is the date on which investors are admitted to the Fund and commitments become binding.</w:t>
            </w:r>
          </w:p>
          <w:p w14:paraId="56EE6B85" w14:textId="77777777" w:rsidR="005A2404" w:rsidRPr="00FA1EC6" w:rsidRDefault="005A2404"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For unregulated SCSps: no statutory ramp-up concept applies. The build-up period is purely contractual. Specify the trigger date, duration, and which metrics are disapplied during the period.</w:t>
            </w:r>
          </w:p>
        </w:tc>
      </w:tr>
      <w:tr w:rsidR="002031B7" w:rsidRPr="00FA1EC6" w14:paraId="7CC4647D"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6F60B540" w14:textId="77777777" w:rsidR="002031B7" w:rsidRPr="00FA1EC6" w:rsidRDefault="002031B7" w:rsidP="005F01A8">
            <w:pPr>
              <w:spacing w:before="120" w:after="120"/>
              <w:rPr>
                <w:rFonts w:ascii="Calibri Light" w:hAnsi="Calibri Light" w:cs="Calibri Light"/>
                <w:color w:val="1F3A93"/>
              </w:rPr>
            </w:pPr>
            <w:r>
              <w:rPr>
                <w:rFonts w:ascii="Calibri Light" w:hAnsi="Calibri Light" w:cs="Calibri Light"/>
                <w:b/>
                <w:bCs/>
                <w:color w:val="1F3A93"/>
              </w:rPr>
              <w:t>Fund / Compartment Term</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6C165A40"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[For standalone structures]</w:t>
            </w:r>
            <w:r>
              <w:rPr>
                <w:rFonts w:ascii="Calibri Light" w:hAnsi="Calibri Light" w:cs="Calibri Light"/>
                <w:color w:val="1F3A93"/>
              </w:rPr>
              <w:t xml:space="preserve"> The term of the Fund is [[X years]] from the Initial Closing (the "</w:t>
            </w:r>
            <w:r>
              <w:rPr>
                <w:rFonts w:ascii="Calibri Light" w:hAnsi="Calibri Light" w:cs="Calibri Light"/>
                <w:b/>
                <w:bCs/>
                <w:color w:val="1F3A93"/>
              </w:rPr>
              <w:t>Term</w:t>
            </w:r>
            <w:r>
              <w:rPr>
                <w:rFonts w:ascii="Calibri Light" w:hAnsi="Calibri Light" w:cs="Calibri Light"/>
                <w:color w:val="1F3A93"/>
              </w:rPr>
              <w:t xml:space="preserve">"), subject to extension for [[X]] successive [[X]]-year periods [[at the discretion of the General Partner / with the approval of an Ordinary Resolution / as follows: [X]]]. </w:t>
            </w:r>
          </w:p>
          <w:p w14:paraId="309128C9"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[For umbrella structures]</w:t>
            </w:r>
            <w:r>
              <w:rPr>
                <w:rFonts w:ascii="Calibri Light" w:hAnsi="Calibri Light" w:cs="Calibri Light"/>
                <w:color w:val="1F3A93"/>
              </w:rPr>
              <w:t xml:space="preserve"> The term of the Compartment is [[X years]] from the Initial Closing (the "</w:t>
            </w:r>
            <w:r>
              <w:rPr>
                <w:rFonts w:ascii="Calibri Light" w:hAnsi="Calibri Light" w:cs="Calibri Light"/>
                <w:b/>
                <w:bCs/>
                <w:color w:val="1F3A93"/>
              </w:rPr>
              <w:t>Term</w:t>
            </w:r>
            <w:r>
              <w:rPr>
                <w:rFonts w:ascii="Calibri Light" w:hAnsi="Calibri Light" w:cs="Calibri Light"/>
                <w:color w:val="1F3A93"/>
              </w:rPr>
              <w:t>"), subject to extension for [[X]] successive [[X]]-year periods [[at the discretion of the General Partner / with the approval of a Compartment Ordinary Resolution / as follows: [X]]].</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4BD67146"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An umbrella fund may be perpetual while each compartment has a defined life. The Term and any extension mechanism (number and length of extensions, and whether each extension is at the General Partner's discretion or subject to Limited Partner or Advisory Committee approval) should reflect the strategy and expected holding periods. Extension provisions should be drafted precisely.</w:t>
            </w:r>
          </w:p>
        </w:tc>
      </w:tr>
      <w:tr w:rsidR="002031B7" w:rsidRPr="00FA1EC6" w14:paraId="7830FAD0"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15501C5A" w14:textId="77777777" w:rsidR="002031B7" w:rsidRPr="00FA1EC6" w:rsidRDefault="002031B7" w:rsidP="005F01A8">
            <w:pPr>
              <w:spacing w:before="120" w:after="120"/>
              <w:rPr>
                <w:rFonts w:ascii="Calibri Light" w:hAnsi="Calibri Light" w:cs="Calibri Light"/>
                <w:color w:val="1F3A93"/>
              </w:rPr>
            </w:pPr>
            <w:r>
              <w:rPr>
                <w:rFonts w:ascii="Calibri Light" w:hAnsi="Calibri Light" w:cs="Calibri Light"/>
                <w:b/>
                <w:bCs/>
                <w:color w:val="1F3A93"/>
              </w:rPr>
              <w:t>Target Fund Size</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3D5C75CC" w14:textId="77777777" w:rsidR="00527A19" w:rsidRPr="00FA1EC6" w:rsidRDefault="002031B7" w:rsidP="008C534D">
            <w:pPr>
              <w:spacing w:before="120" w:after="120"/>
              <w:jc w:val="both"/>
              <w:rPr>
                <w:rFonts w:ascii="Calibri Light" w:hAnsi="Calibri Light" w:cs="Calibri Light"/>
                <w:color w:val="1F3A93"/>
              </w:rPr>
            </w:pPr>
            <w:r>
              <w:rPr>
                <w:rFonts w:ascii="Calibri Light" w:hAnsi="Calibri Light" w:cs="Calibri Light"/>
                <w:color w:val="1F3A93"/>
              </w:rPr>
              <w:t xml:space="preserve">Target size of the Fund: </w:t>
            </w:r>
            <w:r>
              <w:rPr>
                <w:rFonts w:ascii="Calibri Light" w:hAnsi="Calibri Light" w:cs="Calibri Light"/>
                <w:b/>
                <w:bCs/>
                <w:color w:val="1F3A93"/>
              </w:rPr>
              <w:t>[[EUR XXX million]</w:t>
            </w:r>
            <w:r>
              <w:rPr>
                <w:rFonts w:ascii="Calibri Light" w:hAnsi="Calibri Light" w:cs="Calibri Light"/>
                <w:color w:val="1F3A93"/>
              </w:rPr>
              <w:t xml:space="preserve">]. </w:t>
            </w:r>
          </w:p>
          <w:p w14:paraId="1F1FE96E" w14:textId="77777777" w:rsidR="00527A19" w:rsidRPr="00FA1EC6" w:rsidRDefault="002031B7" w:rsidP="008C534D">
            <w:pPr>
              <w:spacing w:before="120" w:after="120"/>
              <w:jc w:val="both"/>
              <w:rPr>
                <w:rFonts w:ascii="Calibri Light" w:hAnsi="Calibri Light" w:cs="Calibri Light"/>
                <w:color w:val="1F3A93"/>
              </w:rPr>
            </w:pPr>
            <w:r>
              <w:rPr>
                <w:rFonts w:ascii="Calibri Light" w:hAnsi="Calibri Light" w:cs="Calibri Light"/>
                <w:color w:val="1F3A93"/>
              </w:rPr>
              <w:t xml:space="preserve">Target size of the Compartment: </w:t>
            </w:r>
            <w:r>
              <w:rPr>
                <w:rFonts w:ascii="Calibri Light" w:hAnsi="Calibri Light" w:cs="Calibri Light"/>
                <w:b/>
                <w:bCs/>
                <w:color w:val="1F3A93"/>
              </w:rPr>
              <w:t>[[EUR XXX million]</w:t>
            </w:r>
            <w:r>
              <w:rPr>
                <w:rFonts w:ascii="Calibri Light" w:hAnsi="Calibri Light" w:cs="Calibri Light"/>
                <w:color w:val="1F3A93"/>
              </w:rPr>
              <w:t xml:space="preserve">]. </w:t>
            </w:r>
          </w:p>
          <w:p w14:paraId="264ADE08"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color w:val="1F3A93"/>
              </w:rPr>
              <w:t xml:space="preserve">The General Partner reserves the right to increase the target size at its discretion. [If RAIF:] The value of the amount constituting partnership interests in the Fund must reach EUR 1,250,000 within 24 months of its constitution (Articles 25 and 32 of the RAIF Law). [If SIF:] The value of the amount constituting partnership interests in the Fund must reach EUR 1,250,000 within 24 months following its authorisation by the CSSF (Articles 27 and 39(1) of the SIF Law)</w:t>
            </w:r>
            <w:r>
              <w:rPr>
                <w:rFonts w:ascii="Calibri Light" w:hAnsi="Calibri Light" w:cs="Calibri Light"/>
                <w:color w:val="1F3A93"/>
              </w:rPr>
              <w:t xml:space="preserve"> [Note: confirm the 24-month period against the consolidated text of the SIF Law on Legilux, as historical versions provided for 12 months]</w:t>
            </w:r>
            <w:r>
              <w:rPr>
                <w:rFonts w:ascii="Calibri Light" w:hAnsi="Calibri Light" w:cs="Calibri Light"/>
                <w:color w:val="1F3A93"/>
              </w:rPr>
              <w:t xml:space="preserve">. [If unregulated SCS/SCSp (sub-threshold): delete this sentence — no statutory minimum applies.]</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21348DCF" w14:textId="77777777" w:rsidR="002031B7" w:rsidRPr="00FA1EC6" w:rsidRDefault="002031B7"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The target fund size is a commercial representation, not a legal obligation. However, investors rely on it for sizing decisions and portfolio construction. If the GP intends to hard-cap the fund (i.e., not exceed a stated maximum), this must be clearly stated and enforced — accepting commitments above a hard cap without LP consent can give rise to claims. State whether there is a minimum viable fund size below which the Fund will not proceed.</w:t>
            </w:r>
          </w:p>
        </w:tc>
      </w:tr>
      <w:tr w:rsidR="002031B7" w:rsidRPr="00FA1EC6" w14:paraId="2D718026"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0A12FBBF" w14:textId="77777777" w:rsidR="002031B7" w:rsidRPr="00EB59FD" w:rsidRDefault="002031B7" w:rsidP="005F01A8">
            <w:pPr>
              <w:spacing w:before="120" w:after="120"/>
              <w:rPr>
                <w:rFonts w:ascii="Calibri Light" w:hAnsi="Calibri Light" w:cs="Calibri Light"/>
                <w:color w:val="1F3A93"/>
              </w:rPr>
            </w:pPr>
            <w:r>
              <w:rPr>
                <w:rFonts w:ascii="Calibri Light" w:hAnsi="Calibri Light" w:cs="Calibri Light"/>
                <w:b/>
                <w:bCs/>
                <w:color w:val="1F3A93"/>
              </w:rPr>
              <w:t>ESG Disclosure</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15507D5F"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[[Article 6 / 8 / 9]</w:t>
            </w:r>
            <w:r>
              <w:rPr>
                <w:rFonts w:ascii="Calibri Light" w:hAnsi="Calibri Light" w:cs="Calibri Light"/>
                <w:color w:val="1F3A93"/>
              </w:rPr>
              <w:t>] of Regulation (EU) 2019/2088 (SFDR).</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4BE654B7" w14:textId="77777777" w:rsidR="000041A5" w:rsidRPr="00EB59FD"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SFDR classification must be confirmed with the AIFM and disclosed pre-contractually. Article 8: the Fund promotes environmental or social characteristics. Pre-contractual disclosures under Article 8 and periodic reporting under Article 11 apply. Article 9: sustainable investment is the objective — highest disclosure burden. Article 6 only: the Fund neither promotes environmental or social characteristics nor has sustainable investment as its objective. The Article 6 disclosures on the integration of sustainability risks still apply. The classification should be supported by the Fund Documents and maintained consistently throughout the life of the Fund. The SFDR is under review at EU level. The classification and </w:t>
            </w:r>
            <w:r>
              <w:rPr>
                <w:rFonts w:ascii="Calibri Light" w:hAnsi="Calibri Light" w:cs="Calibri Light"/>
                <w:i/>
                <w:iCs/>
                <w:color w:val="1F3A93"/>
                <w:sz w:val="16"/>
                <w:szCs w:val="16"/>
              </w:rPr>
              <w:t>related disclosures should be revisited once the amended framework is adopted.</w:t>
            </w:r>
          </w:p>
          <w:p w14:paraId="5E4CDAF4" w14:textId="77777777" w:rsidR="008D0A5A" w:rsidRPr="00EB59FD"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Article 8 Funds:</w:t>
            </w:r>
            <w:r>
              <w:rPr>
                <w:rFonts w:ascii="Calibri Light" w:hAnsi="Calibri Light" w:cs="Calibri Light"/>
                <w:i/>
                <w:iCs/>
                <w:color w:val="1F3A93"/>
                <w:sz w:val="16"/>
                <w:szCs w:val="16"/>
              </w:rPr>
              <w:t xml:space="preserve"> For Article 8 funds, the specific E/S characteristics promoted must be clearly identified. Vague statements (e.g., ‘ESG integration’) are insufficient. The indicators used to measure attainment must be disclosed. The fund may, but is not required to, commit to a minimum proportion of sustainable investments. If it does so commit, the methodology for assessing ‘sustainable investment’ under Article 2(17) of SFDR must be disclosed.</w:t>
            </w:r>
          </w:p>
          <w:p w14:paraId="4578A0C0" w14:textId="77777777" w:rsidR="008D0A5A" w:rsidRPr="00EB59FD"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Article 9 Funds:</w:t>
            </w:r>
            <w:r>
              <w:rPr>
                <w:rFonts w:ascii="Calibri Light" w:hAnsi="Calibri Light" w:cs="Calibri Light"/>
                <w:i/>
                <w:iCs/>
                <w:color w:val="1F3A93"/>
                <w:sz w:val="16"/>
                <w:szCs w:val="16"/>
              </w:rPr>
              <w:t xml:space="preserve"> Article 9 classification requires a binding commitment to a sustainable investment objective — not merely ‘promotion’ of E/S characteristics. The objective must be clearly stated. The ‘do no significant harm’ assessment and good governance checks must be documented. The Article 9 criteria must be met throughout the life of the Fund.</w:t>
            </w:r>
          </w:p>
          <w:p w14:paraId="3FBBC4FC" w14:textId="77777777" w:rsidR="008D0A5A" w:rsidRPr="00EB59FD"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PAI Statement:</w:t>
            </w:r>
            <w:r>
              <w:rPr>
                <w:rFonts w:ascii="Calibri Light" w:hAnsi="Calibri Light" w:cs="Calibri Light"/>
                <w:i/>
                <w:iCs/>
                <w:color w:val="1F3A93"/>
                <w:sz w:val="16"/>
                <w:szCs w:val="16"/>
              </w:rPr>
              <w:t xml:space="preserve"> The AIFM either publishes a statement on due diligence policies with respect to principal adverse impacts or explains why it does not consider them (Article 4(1) SFDR); publication is mandatory above the thresholds set out in Article 4(3) and (4). At product level, Article 7 requires disclosure of whether and how principal adverse impacts are considered.</w:t>
            </w:r>
          </w:p>
          <w:p w14:paraId="2180CC38" w14:textId="77777777" w:rsidR="008D0A5A" w:rsidRPr="00EB59FD"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Sustainability Risk Policy:</w:t>
            </w:r>
            <w:r>
              <w:rPr>
                <w:rFonts w:ascii="Calibri Light" w:hAnsi="Calibri Light" w:cs="Calibri Light"/>
                <w:i/>
                <w:iCs/>
                <w:color w:val="1F3A93"/>
                <w:sz w:val="16"/>
                <w:szCs w:val="16"/>
              </w:rPr>
              <w:t xml:space="preserve"> The AIFM publishes its policy on the integration of sustainability risks on its website (Article 3). The manner in which sustainability risks are integrated and their likely impact on returns are disclosed pre-contractually (Article 6).</w:t>
            </w:r>
          </w:p>
          <w:p w14:paraId="65273D8F"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b/>
                <w:bCs/>
                <w:i/>
                <w:iCs/>
                <w:color w:val="1F3A93"/>
                <w:sz w:val="16"/>
                <w:szCs w:val="16"/>
              </w:rPr>
              <w:t>Periodic Reporting:</w:t>
            </w:r>
            <w:r>
              <w:rPr>
                <w:rFonts w:ascii="Calibri Light" w:hAnsi="Calibri Light" w:cs="Calibri Light"/>
                <w:i/>
                <w:iCs/>
                <w:color w:val="1F3A93"/>
                <w:sz w:val="16"/>
                <w:szCs w:val="16"/>
              </w:rPr>
              <w:t xml:space="preserve"> Article 8 and 9 funds include sustainability information in their periodic reports (Article 11 SFDR), using the templates of the SFDR regulatory technical standards. Confirm the reporting template and timeline with the AIFM and administration agent.</w:t>
            </w:r>
          </w:p>
        </w:tc>
      </w:tr>
      <w:tr w:rsidR="002031B7" w:rsidRPr="00FA1EC6" w14:paraId="2B440910" w14:textId="77777777" w:rsidTr="479FEC54">
        <w:tc>
          <w:tcPr>
            <w:tcW w:w="0" w:type="auto"/>
            <w:gridSpan w:val="3"/>
            <w:tcBorders>
              <w:top w:val="single" w:sz="6" w:space="0" w:color="0D2240"/>
              <w:left w:val="single" w:sz="6" w:space="0" w:color="0D2240"/>
              <w:bottom w:val="single" w:sz="6" w:space="0" w:color="0D2240"/>
              <w:right w:val="single" w:sz="6" w:space="0" w:color="0D2240"/>
            </w:tcBorders>
            <w:shd w:val="clear" w:color="auto" w:fill="1F3A93"/>
            <w:tcMar>
              <w:top w:w="100" w:type="dxa"/>
              <w:left w:w="180" w:type="dxa"/>
              <w:bottom w:w="100" w:type="dxa"/>
              <w:right w:w="180" w:type="dxa"/>
            </w:tcMar>
          </w:tcPr>
          <w:p w14:paraId="764E0C8A" w14:textId="77777777" w:rsidR="002031B7" w:rsidRPr="00EB59FD" w:rsidRDefault="002031B7" w:rsidP="005F01A8">
            <w:pPr>
              <w:spacing w:before="120" w:after="120"/>
              <w:rPr>
                <w:rFonts w:ascii="Calibri Light" w:hAnsi="Calibri Light" w:cs="Calibri Light"/>
                <w:color w:val="1F3A93"/>
              </w:rPr>
            </w:pPr>
            <w:r>
              <w:rPr>
                <w:rFonts w:ascii="Calibri Light" w:hAnsi="Calibri Light" w:cs="Calibri Light"/>
                <w:b/>
                <w:bCs/>
                <w:color w:val="FFFFFF" w:themeColor="background1"/>
                <w:sz w:val="20"/>
                <w:szCs w:val="20"/>
              </w:rPr>
              <w:t>V.   COMMITMENT MODEL AND INVESTOR TERMS</w:t>
            </w:r>
          </w:p>
        </w:tc>
      </w:tr>
      <w:tr w:rsidR="002031B7" w:rsidRPr="00FA1EC6" w14:paraId="6EB96BC8"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6C1C7943"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Commitment Model</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1B64E000"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color w:val="1F3A93"/>
              </w:rPr>
              <w:t>The Fund operates on a commitment model (</w:t>
            </w:r>
            <w:r>
              <w:rPr>
                <w:rFonts w:ascii="Calibri Light" w:hAnsi="Calibri Light" w:cs="Calibri Light"/>
                <w:i/>
                <w:iCs/>
                <w:color w:val="1F3A93"/>
              </w:rPr>
              <w:t>fonds fermé structure</w:t>
            </w:r>
            <w:r>
              <w:rPr>
                <w:rFonts w:ascii="Calibri Light" w:hAnsi="Calibri Light" w:cs="Calibri Light"/>
                <w:color w:val="1F3A93"/>
              </w:rPr>
              <w:t>). Each Investor makes a Commitment (</w:t>
            </w:r>
            <w:r>
              <w:rPr>
                <w:rFonts w:ascii="Calibri Light" w:hAnsi="Calibri Light" w:cs="Calibri Light"/>
                <w:i/>
                <w:iCs/>
                <w:color w:val="1F3A93"/>
              </w:rPr>
              <w:t>apport</w:t>
            </w:r>
            <w:r>
              <w:rPr>
                <w:rFonts w:ascii="Calibri Light" w:hAnsi="Calibri Light" w:cs="Calibri Light"/>
                <w:color w:val="1F3A93"/>
              </w:rPr>
              <w:t>) to the capital of the Fund which is drawn down by the General Partner by way of capital call notices. Drawn capital (</w:t>
            </w:r>
            <w:r>
              <w:rPr>
                <w:rFonts w:ascii="Calibri Light" w:hAnsi="Calibri Light" w:cs="Calibri Light"/>
                <w:i/>
                <w:iCs/>
                <w:color w:val="1F3A93"/>
              </w:rPr>
              <w:t>libéré</w:t>
            </w:r>
            <w:r>
              <w:rPr>
                <w:rFonts w:ascii="Calibri Light" w:hAnsi="Calibri Light" w:cs="Calibri Light"/>
                <w:color w:val="1F3A93"/>
              </w:rPr>
              <w:t>) is paid by the Limited Partner upon receipt of a capital call notice and is not redeemable.</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07F21FC5" w14:textId="77777777" w:rsidR="002031B7" w:rsidRPr="00EB59FD" w:rsidRDefault="002031B7" w:rsidP="005F01A8">
            <w:pPr>
              <w:spacing w:before="120" w:after="120"/>
              <w:rPr>
                <w:rFonts w:ascii="Calibri Light" w:hAnsi="Calibri Light" w:cs="Calibri Light"/>
                <w:color w:val="1F3A93"/>
              </w:rPr>
            </w:pPr>
            <w:r>
              <w:rPr>
                <w:rFonts w:ascii="Calibri Light" w:hAnsi="Calibri Light" w:cs="Calibri Light"/>
                <w:i/>
                <w:iCs/>
                <w:color w:val="1F3A93"/>
                <w:sz w:val="16"/>
                <w:szCs w:val="16"/>
              </w:rPr>
              <w:t>The commitment model (also: drawdown / closed-end model) is the structure used in this template for closed-ended strategies such as private equity, real estate and private credit. Investors commit a maximum amount; the GP draws it down as needed for investments and expenses. This contrasts with open-ended funds (UCITS / ELTIF-style) where investors subscribe for NAV-priced units. Ensure the LPA contains clear provisions on capital call procedure, notice periods, and consequences of default.</w:t>
            </w:r>
          </w:p>
        </w:tc>
      </w:tr>
      <w:tr w:rsidR="002031B7" w:rsidRPr="00FA1EC6" w14:paraId="057ADB80"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5A68BFBB"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Partner Interests</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7F904E4F"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color w:val="1F3A93"/>
              </w:rPr>
              <w:t>Partnership interests are issued in two categories: (i) limited partner interests held by the Limited Partners (</w:t>
            </w:r>
            <w:r>
              <w:rPr>
                <w:rFonts w:ascii="Calibri Light" w:hAnsi="Calibri Light" w:cs="Calibri Light"/>
                <w:i/>
                <w:iCs/>
                <w:color w:val="1F3A93"/>
              </w:rPr>
              <w:t>associés commanditaires</w:t>
            </w:r>
            <w:r>
              <w:rPr>
                <w:rFonts w:ascii="Calibri Light" w:hAnsi="Calibri Light" w:cs="Calibri Light"/>
                <w:color w:val="1F3A93"/>
              </w:rPr>
              <w:t xml:space="preserve">); and (ii) the general partner interest, held exclusively by the General Partner </w:t>
            </w:r>
            <w:r>
              <w:rPr>
                <w:rFonts w:ascii="Calibri Light" w:hAnsi="Calibri Light" w:cs="Calibri Light"/>
                <w:i/>
                <w:iCs/>
                <w:color w:val="1F3A93"/>
              </w:rPr>
              <w:t>(associé commandité)</w:t>
            </w:r>
            <w:r>
              <w:rPr>
                <w:rFonts w:ascii="Calibri Light" w:hAnsi="Calibri Light" w:cs="Calibri Light"/>
                <w:color w:val="1F3A93"/>
              </w:rPr>
              <w:t xml:space="preserve">. Multiple classes of limited partner interests may be created to accommodate </w:t>
            </w:r>
            <w:r>
              <w:rPr>
                <w:rFonts w:ascii="Calibri Light" w:hAnsi="Calibri Light" w:cs="Calibri Light"/>
                <w:color w:val="1F3A93"/>
              </w:rPr>
              <w:t>different fee structures, investor types, or Commitment sizes.</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5E1923AF" w14:textId="77777777" w:rsidR="002031B7" w:rsidRPr="00EB59FD" w:rsidRDefault="002031B7" w:rsidP="005F01A8">
            <w:pPr>
              <w:spacing w:before="120" w:after="120"/>
              <w:rPr>
                <w:rFonts w:ascii="Calibri Light" w:hAnsi="Calibri Light" w:cs="Calibri Light"/>
                <w:color w:val="1F3A93"/>
              </w:rPr>
            </w:pPr>
            <w:r>
              <w:rPr>
                <w:rFonts w:ascii="Calibri Light" w:hAnsi="Calibri Light" w:cs="Calibri Light"/>
                <w:i/>
                <w:iCs/>
                <w:color w:val="1F3A93"/>
                <w:sz w:val="16"/>
                <w:szCs w:val="16"/>
              </w:rPr>
              <w:t xml:space="preserve">Multiple LP classes may be used for: (i) different fee tiers (anchor investors, institutional vs. smaller LPs); (ii) different currencies (EUR vs. USD class); (iii) co-invest vs. main fund. Each class must be specified in the LPA with its own fee, carry, and distribution </w:t>
            </w:r>
            <w:r>
              <w:rPr>
                <w:rFonts w:ascii="Calibri Light" w:hAnsi="Calibri Light" w:cs="Calibri Light"/>
                <w:i/>
                <w:iCs/>
                <w:color w:val="1F3A93"/>
                <w:sz w:val="16"/>
                <w:szCs w:val="16"/>
              </w:rPr>
              <w:t>mechanics. Note that neither the SCS nor the SCSp has any concept of 'shares' — interests are contractual percentage interests (quotités), not transferable securities, unless the LPA provides otherwise.</w:t>
            </w:r>
          </w:p>
        </w:tc>
      </w:tr>
      <w:tr w:rsidR="002031B7" w:rsidRPr="00FA1EC6" w14:paraId="38D40FD0"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554378B1"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GP Commitment</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187A0B2D"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color w:val="1F3A93"/>
              </w:rPr>
              <w:t xml:space="preserve">The General Partner will commit </w:t>
            </w:r>
            <w:r>
              <w:rPr>
                <w:rFonts w:ascii="Calibri Light" w:hAnsi="Calibri Light" w:cs="Calibri Light"/>
                <w:b/>
                <w:bCs/>
                <w:color w:val="1F3A93"/>
              </w:rPr>
              <w:t>[[EUR 1 (nominal) / a minimum of X% of Aggregate Commitments]]</w:t>
            </w:r>
            <w:r>
              <w:rPr>
                <w:rFonts w:ascii="Calibri Light" w:hAnsi="Calibri Light" w:cs="Calibri Light"/>
                <w:color w:val="1F3A93"/>
              </w:rPr>
              <w:t xml:space="preserve"> to the Fund. </w:t>
            </w:r>
          </w:p>
          <w:p w14:paraId="1D0B6DE7"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[[If skin-in-the-game: ]</w:t>
            </w:r>
            <w:r>
              <w:rPr>
                <w:rFonts w:ascii="Calibri Light" w:hAnsi="Calibri Light" w:cs="Calibri Light"/>
                <w:color w:val="1F3A93"/>
              </w:rPr>
              <w:t xml:space="preserve">The General Partner and/or its principals commit not less than </w:t>
            </w:r>
            <w:r>
              <w:rPr>
                <w:rFonts w:ascii="Calibri Light" w:hAnsi="Calibri Light" w:cs="Calibri Light"/>
                <w:b/>
                <w:bCs/>
                <w:color w:val="1F3A93"/>
              </w:rPr>
              <w:t>[[X%]</w:t>
            </w:r>
            <w:r>
              <w:rPr>
                <w:rFonts w:ascii="Calibri Light" w:hAnsi="Calibri Light" w:cs="Calibri Light"/>
                <w:color w:val="1F3A93"/>
              </w:rPr>
              <w:t>] of Aggregate Commitments as a co-investment alongside Limited Partners.]</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5A84055E" w14:textId="77777777" w:rsidR="005F4A57"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GP commitment (</w:t>
            </w:r>
            <w:r>
              <w:rPr>
                <w:rFonts w:ascii="Calibri Light" w:hAnsi="Calibri Light" w:cs="Calibri Light"/>
                <w:b/>
                <w:bCs/>
                <w:i/>
                <w:iCs/>
                <w:color w:val="1F3A93"/>
                <w:sz w:val="16"/>
                <w:szCs w:val="16"/>
              </w:rPr>
              <w:t>'skin in the game'</w:t>
            </w:r>
            <w:r>
              <w:rPr>
                <w:rFonts w:ascii="Calibri Light" w:hAnsi="Calibri Light" w:cs="Calibri Light"/>
                <w:i/>
                <w:iCs/>
                <w:color w:val="1F3A93"/>
                <w:sz w:val="16"/>
                <w:szCs w:val="16"/>
              </w:rPr>
              <w:t xml:space="preserve">) signals alignment of interests. A meaningful GP commitment aligns interests and demonstrates confidence in the strategy; its level and form (cash, fee waiver, commitment by affiliates) are commercial terms to be defined by reference to the investor base. The AIFMD II amendments transposed via the Law of 3 March 2026, published in early March 2026, with entry into force on 16 April 2026 (certain reporting obligations deferred to April 2027) do not impose any sponsor commitment, own-funds or risk retention requirement by reference to GP skin-in-the-game. The 5% retention requirement introduced by the Law of 3 March 2026 applies only to loans originated by a loan-originating AIF and subsequently transferred to third parties (Article 14(12) of the AIFM Law) and is unrelated to the GP Commitment. GP commitment remains a purely commercial term. Nominal commitments (EUR 1) are possible; the level of the GP commitment is a commercial decision. </w:t>
            </w:r>
          </w:p>
          <w:p w14:paraId="15CEC7CF"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Where the GP Commitment is made through the General Partner itself rather than a separate vehicle, a general partner may also be a limited partner, provided there is always at least one general partner and one limited partner which are legally separate from each other. Specify in which capacity the commitment is made, since it determines whether the amount is exposed to unlimited liability.</w:t>
            </w:r>
          </w:p>
        </w:tc>
      </w:tr>
      <w:tr w:rsidR="002031B7" w:rsidRPr="00FA1EC6" w14:paraId="08CE33B8"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3A6F8092"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Investor Minimum Commitment</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62A42AFE"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[[EUR 100,000]</w:t>
            </w:r>
            <w:r>
              <w:rPr>
                <w:rFonts w:ascii="Calibri Light" w:hAnsi="Calibri Light" w:cs="Calibri Light"/>
                <w:color w:val="1F3A93"/>
              </w:rPr>
              <w:t>] per Limited Partner, subject to reduction at the General Partner's discretion.</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4F1236D4"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For RAIFs, the EUR 100,000 Well-Informed Investor threshold is a regulatory floor. A higher commercial minimum may be set, with discretion to reduce it for particular investors. The commercial minimum is a positioning decision that depends on the target investors and fund size.</w:t>
            </w:r>
          </w:p>
        </w:tc>
      </w:tr>
      <w:tr w:rsidR="002031B7" w:rsidRPr="00FA1EC6" w14:paraId="24438D7C"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69A2BF02"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 xml:space="preserve">Eligible Investors </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23868D2A" w14:textId="77777777" w:rsidR="003E428A" w:rsidRDefault="00FF0C49">
            <w:pPr>
              <w:spacing w:before="120" w:after="120"/>
              <w:jc w:val="both"/>
              <w:rPr>
                <w:rFonts w:ascii="Calibri Light" w:hAnsi="Calibri Light" w:cs="Calibri Light"/>
                <w:color w:val="1F3A93"/>
              </w:rPr>
            </w:pPr>
            <w:r>
              <w:rPr>
                <w:rFonts w:ascii="Calibri Light" w:hAnsi="Calibri Light" w:cs="Calibri Light"/>
                <w:b/>
                <w:bCs/>
                <w:color w:val="1F3A93"/>
              </w:rPr>
              <w:t>[If unregulated SCS/SCSp (sub-threshold)]</w:t>
            </w:r>
            <w:r>
              <w:rPr>
                <w:rFonts w:ascii="Calibri Light" w:eastAsiaTheme="minorEastAsia" w:hAnsi="Calibri Light" w:cs="Calibri Light"/>
                <w:b/>
                <w:bCs/>
                <w:color w:val="1F3A93"/>
                <w:sz w:val="22"/>
                <w:szCs w:val="22"/>
              </w:rPr>
              <w:t xml:space="preserve"> </w:t>
            </w:r>
            <w:r>
              <w:rPr>
                <w:rFonts w:ascii="Calibri Light" w:hAnsi="Calibri Light" w:cs="Calibri Light"/>
                <w:color w:val="1F3A93"/>
              </w:rPr>
              <w:t>Interests in the Fund are offered exclusively to professional investors within the meaning of Annex II of Directive 2014/65/EU (MiFID II) and to such other qualifying investors as the General Partner may determine in its discretion. No statutory eligible investor test applies; the eligibility criteria are contractual and are set out in the LPA.</w:t>
            </w:r>
          </w:p>
          <w:p w14:paraId="7BE24B23" w14:textId="77777777" w:rsidR="005A2404" w:rsidRPr="00EB59FD" w:rsidRDefault="005A2404" w:rsidP="008C534D">
            <w:pPr>
              <w:spacing w:before="120" w:after="120"/>
              <w:jc w:val="both"/>
              <w:rPr>
                <w:rFonts w:ascii="Calibri Light" w:hAnsi="Calibri Light" w:cs="Calibri Light"/>
                <w:color w:val="1F3A93"/>
              </w:rPr>
            </w:pPr>
            <w:r>
              <w:rPr>
                <w:rFonts w:ascii="Calibri Light" w:hAnsi="Calibri Light" w:cs="Calibri Light"/>
                <w:color w:val="1F3A93"/>
              </w:rPr>
              <w:t>[</w:t>
            </w:r>
            <w:r>
              <w:rPr>
                <w:rFonts w:ascii="Calibri Light" w:hAnsi="Calibri Light" w:cs="Calibri Light"/>
                <w:b/>
                <w:bCs/>
                <w:color w:val="1F3A93"/>
              </w:rPr>
              <w:t>If RAIF or SIF</w:t>
            </w:r>
            <w:r>
              <w:rPr>
                <w:rFonts w:ascii="Calibri Light" w:hAnsi="Calibri Light" w:cs="Calibri Light"/>
                <w:color w:val="1F3A93"/>
              </w:rPr>
              <w:t>]: Only Well-Informed Investors (</w:t>
            </w:r>
            <w:r>
              <w:rPr>
                <w:rFonts w:ascii="Calibri Light" w:hAnsi="Calibri Light" w:cs="Calibri Light"/>
                <w:i/>
                <w:iCs/>
                <w:color w:val="1F3A93"/>
              </w:rPr>
              <w:t>investisseurs avertis</w:t>
            </w:r>
            <w:r>
              <w:rPr>
                <w:rFonts w:ascii="Calibri Light" w:hAnsi="Calibri Light" w:cs="Calibri Light"/>
                <w:color w:val="1F3A93"/>
              </w:rPr>
              <w:t xml:space="preserve">) within the meaning of Article 2 of [the RAIF Law / the SIF Law] will be accepted. In accordance therewith, </w:t>
            </w:r>
          </w:p>
          <w:p w14:paraId="33697779" w14:textId="77777777" w:rsidR="005A2404" w:rsidRPr="00EB59FD" w:rsidRDefault="005A2404" w:rsidP="008C534D">
            <w:pPr>
              <w:spacing w:before="120" w:after="120"/>
              <w:jc w:val="both"/>
              <w:rPr>
                <w:rFonts w:ascii="Calibri Light" w:hAnsi="Calibri Light" w:cs="Calibri Light"/>
                <w:color w:val="1F3A93"/>
              </w:rPr>
            </w:pPr>
            <w:r>
              <w:rPr>
                <w:rFonts w:ascii="Calibri Light" w:hAnsi="Calibri Light" w:cs="Calibri Light"/>
                <w:color w:val="1F3A93"/>
              </w:rPr>
              <w:t>Well-Informed Investors shall be:</w:t>
            </w:r>
          </w:p>
          <w:p w14:paraId="70193D3D" w14:textId="77777777" w:rsidR="005A2404" w:rsidRPr="00EB59FD" w:rsidRDefault="005A2404" w:rsidP="008C534D">
            <w:pPr>
              <w:pStyle w:val="ListParagraph"/>
              <w:numPr>
                <w:ilvl w:val="0"/>
                <w:numId w:val="3"/>
              </w:numPr>
              <w:spacing w:before="120" w:after="120"/>
              <w:ind w:left="521" w:hanging="521"/>
              <w:jc w:val="both"/>
              <w:rPr>
                <w:rFonts w:ascii="Calibri Light" w:hAnsi="Calibri Light" w:cs="Calibri Light"/>
                <w:color w:val="1F3A93"/>
              </w:rPr>
            </w:pPr>
            <w:r>
              <w:rPr>
                <w:rFonts w:ascii="Calibri Light" w:hAnsi="Calibri Light" w:cs="Calibri Light"/>
                <w:color w:val="1F3A93"/>
              </w:rPr>
              <w:t>institutional investors,</w:t>
            </w:r>
          </w:p>
          <w:p w14:paraId="134F36AA" w14:textId="77777777" w:rsidR="005A2404" w:rsidRPr="00EB59FD" w:rsidRDefault="005A2404" w:rsidP="008C534D">
            <w:pPr>
              <w:pStyle w:val="ListParagraph"/>
              <w:numPr>
                <w:ilvl w:val="0"/>
                <w:numId w:val="3"/>
              </w:numPr>
              <w:spacing w:before="120" w:after="120"/>
              <w:ind w:left="521" w:hanging="521"/>
              <w:jc w:val="both"/>
              <w:rPr>
                <w:rFonts w:ascii="Calibri Light" w:hAnsi="Calibri Light" w:cs="Calibri Light"/>
                <w:color w:val="1F3A93"/>
              </w:rPr>
            </w:pPr>
            <w:r>
              <w:rPr>
                <w:rFonts w:ascii="Calibri Light" w:hAnsi="Calibri Light" w:cs="Calibri Light"/>
                <w:color w:val="1F3A93"/>
              </w:rPr>
              <w:lastRenderedPageBreak/>
              <w:t xml:space="preserve">professional investors or </w:t>
            </w:r>
          </w:p>
          <w:p w14:paraId="60F0C1A4" w14:textId="77777777" w:rsidR="005A2404" w:rsidRPr="00EB59FD" w:rsidRDefault="005A2404" w:rsidP="008C534D">
            <w:pPr>
              <w:pStyle w:val="ListParagraph"/>
              <w:numPr>
                <w:ilvl w:val="0"/>
                <w:numId w:val="3"/>
              </w:numPr>
              <w:spacing w:before="120" w:after="120"/>
              <w:ind w:left="521" w:hanging="521"/>
              <w:jc w:val="both"/>
              <w:rPr>
                <w:rFonts w:ascii="Calibri Light" w:hAnsi="Calibri Light" w:cs="Calibri Light"/>
                <w:color w:val="1F3A93"/>
              </w:rPr>
            </w:pPr>
            <w:r>
              <w:rPr>
                <w:rFonts w:ascii="Calibri Light" w:hAnsi="Calibri Light" w:cs="Calibri Light"/>
                <w:color w:val="1F3A93"/>
              </w:rPr>
              <w:t>any other investor who meets the following conditions:</w:t>
            </w:r>
          </w:p>
          <w:p w14:paraId="0F419F07" w14:textId="77777777" w:rsidR="005A2404" w:rsidRPr="00EB59FD" w:rsidRDefault="005A2404" w:rsidP="008C534D">
            <w:pPr>
              <w:pStyle w:val="ListParagraph"/>
              <w:numPr>
                <w:ilvl w:val="1"/>
                <w:numId w:val="3"/>
              </w:numPr>
              <w:spacing w:before="120" w:after="120"/>
              <w:ind w:left="946" w:hanging="425"/>
              <w:jc w:val="both"/>
              <w:rPr>
                <w:rFonts w:ascii="Calibri Light" w:hAnsi="Calibri Light" w:cs="Calibri Light"/>
                <w:color w:val="1F3A93"/>
              </w:rPr>
            </w:pPr>
            <w:r>
              <w:rPr>
                <w:rFonts w:ascii="Calibri Light" w:hAnsi="Calibri Light" w:cs="Calibri Light"/>
                <w:color w:val="1F3A93"/>
              </w:rPr>
              <w:t>the investor has confirmed in writing that he adheres to the status of well-informed investor and</w:t>
            </w:r>
          </w:p>
          <w:p w14:paraId="637E78FA" w14:textId="77777777" w:rsidR="002031B7" w:rsidRPr="00EB59FD" w:rsidRDefault="005A2404" w:rsidP="008C534D">
            <w:pPr>
              <w:pStyle w:val="ListParagraph"/>
              <w:numPr>
                <w:ilvl w:val="1"/>
                <w:numId w:val="3"/>
              </w:numPr>
              <w:spacing w:before="120" w:after="120"/>
              <w:ind w:left="946" w:hanging="425"/>
              <w:jc w:val="both"/>
              <w:rPr>
                <w:rFonts w:ascii="Calibri Light" w:hAnsi="Calibri Light" w:cs="Calibri Light"/>
                <w:color w:val="1F3A93"/>
              </w:rPr>
            </w:pPr>
            <w:r>
              <w:rPr>
                <w:rFonts w:ascii="Calibri Light" w:hAnsi="Calibri Light" w:cs="Calibri Light"/>
                <w:color w:val="1F3A93"/>
              </w:rPr>
              <w:t>(A) invests a minimum of EUR 100,000 in the [RAIF / SIF], or (B) has been the subject of an assessment made by a credit institution within the meaning of Regulation (EU) No 575/2013, by an investment firm within the meaning of Directive 2014/65/EU, by a management company within the meaning of Directive 2009/65/EC or by an authorised AIFM within the meaning of Directive 2011/61/EU, certifying his expertise, his experience and his knowledge to adequately appraise an investment in the [RAIF / SIF]. The conditions set out above are not applicable to the directors and other persons who intervene in the management of the Fund. Further terms and provisions may be introduced either at the umbrella or compartment level.</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05F3F9D2" w14:textId="77777777" w:rsidR="00B23E20" w:rsidRPr="00EB59FD"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lastRenderedPageBreak/>
              <w:t xml:space="preserve">This is the statutory eligibility test for Well-Informed Investors, which is identical under Article 2 of the RAIF Law and Article 2 of the SIF Law. Keep the bracketed RAIF or SIF wording as applicable and delete the other. Delete this block entirely and keep the unregulated alternative if the Fund is an unregulated SCS/SCSp (sub-threshold). </w:t>
            </w:r>
          </w:p>
          <w:p w14:paraId="7BC3AF73" w14:textId="77777777" w:rsidR="00081940" w:rsidRPr="00EB59FD"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The eligibility confirmation must be obtained and retained as part of the subscription documentation. </w:t>
            </w:r>
          </w:p>
          <w:p w14:paraId="1D2EB788"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 xml:space="preserve">For unregulated SCS/SCSp (sub-threshold) structures, no statutory eligible investor test applies under Luxembourg law. The investor eligibility criteria are determined contractually </w:t>
            </w:r>
            <w:r>
              <w:rPr>
                <w:rFonts w:ascii="Calibri Light" w:hAnsi="Calibri Light" w:cs="Calibri Light"/>
                <w:i/>
                <w:iCs/>
                <w:color w:val="1F3A93"/>
                <w:sz w:val="16"/>
                <w:szCs w:val="16"/>
              </w:rPr>
              <w:t xml:space="preserve">and by the applicable marketing rules in each target jurisdiction. </w:t>
            </w:r>
          </w:p>
        </w:tc>
      </w:tr>
      <w:tr w:rsidR="002031B7" w:rsidRPr="00FA1EC6" w14:paraId="2E65C43A"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4E97A6E9" w14:textId="77777777" w:rsidR="002031B7" w:rsidRPr="00EB59FD" w:rsidRDefault="002031B7" w:rsidP="005F01A8">
            <w:pPr>
              <w:spacing w:before="120" w:after="120"/>
              <w:rPr>
                <w:rFonts w:ascii="Calibri Light" w:hAnsi="Calibri Light" w:cs="Calibri Light"/>
                <w:color w:val="1F3A93"/>
              </w:rPr>
            </w:pPr>
            <w:r>
              <w:rPr>
                <w:rFonts w:ascii="Calibri Light" w:hAnsi="Calibri Light" w:cs="Calibri Light"/>
                <w:b/>
                <w:bCs/>
                <w:color w:val="1F3A93"/>
              </w:rPr>
              <w:t>Subscription Procedure</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2AEB22D2" w14:textId="77777777" w:rsidR="002031B7" w:rsidRPr="00EB59FD" w:rsidRDefault="00B23E20" w:rsidP="008C534D">
            <w:pPr>
              <w:spacing w:before="120" w:after="120"/>
              <w:jc w:val="both"/>
              <w:rPr>
                <w:rFonts w:ascii="Calibri Light" w:hAnsi="Calibri Light" w:cs="Calibri Light"/>
                <w:color w:val="1F3A93"/>
              </w:rPr>
            </w:pPr>
            <w:r>
              <w:rPr>
                <w:rFonts w:ascii="Calibri Light" w:hAnsi="Calibri Light" w:cs="Calibri Light"/>
                <w:color w:val="1F3A93"/>
              </w:rPr>
              <w:t xml:space="preserve">Investors applying for limited partner interests must send their duly executed Subscription Agreement and any supporting documentation required with regard to anti-money laundering matters or other documentation as requested by the General Partner by </w:t>
            </w:r>
            <w:r>
              <w:rPr>
                <w:rFonts w:ascii="Calibri Light" w:hAnsi="Calibri Light" w:cs="Calibri Light"/>
                <w:color w:val="1F3A93"/>
              </w:rPr>
              <w:t xml:space="preserve">electronic means or such</w:t>
            </w:r>
            <w:r>
              <w:rPr>
                <w:rFonts w:ascii="Calibri Light" w:hAnsi="Calibri Light" w:cs="Calibri Light"/>
                <w:color w:val="1F3A93"/>
              </w:rPr>
              <w:t xml:space="preserve"> other means as may be determined by the General Partner in its sole discretion. Admission of Investors is subject to the General Partner's approval in its absolute discretion. [Where a Commitment is to be satisfied by a contribution other than in cash, the contribution is subject to a report of a réviseur d'entreprises agréé drawn up at the time of the contribution (Article 38(6) of the RAIF Law; Article 52(6) of the SIF Law), irrespective of the legal form of the Fund.]</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19A39487" w14:textId="77777777" w:rsidR="00B23E20" w:rsidRPr="00EB59FD"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The subscription procedure must be operationally aligned with the Administration Agent's onboarding timeline. AML/KYC onboarding should be started early, as its duration depends on the investor's profile and the documentation available. The General Partner (acting through the RC appointed at the level of the AIFM or, for an unregulated SCS/SCSp, of the General Partner) must approve each investor. Build in sufficient time between subscription deadline and Closing date. </w:t>
            </w:r>
          </w:p>
          <w:p w14:paraId="3385C866"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Note: the Administration Agent processes applications but the GP/AIFM retains legal responsibility for AML compliance.</w:t>
            </w:r>
          </w:p>
        </w:tc>
      </w:tr>
      <w:tr w:rsidR="002031B7" w:rsidRPr="00FA1EC6" w14:paraId="6F4636E3"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1125B060"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Capital Calls</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6DEC1B67"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color w:val="1F3A93"/>
              </w:rPr>
              <w:t xml:space="preserve">The General Partner will issue capital call notices to Limited Partners no less than </w:t>
            </w:r>
            <w:r>
              <w:rPr>
                <w:rFonts w:ascii="Calibri Light" w:hAnsi="Calibri Light" w:cs="Calibri Light"/>
                <w:b/>
                <w:bCs/>
                <w:color w:val="1F3A93"/>
              </w:rPr>
              <w:t>[[X Business Days]</w:t>
            </w:r>
            <w:r>
              <w:rPr>
                <w:rFonts w:ascii="Calibri Light" w:hAnsi="Calibri Light" w:cs="Calibri Light"/>
                <w:color w:val="1F3A93"/>
              </w:rPr>
              <w:t>] before the due date for payment. Capital calls may be made for the purpose of funding investments, management fees, fund expenses, and other amounts payable by the Fund. A Limited Partner that fails to fund a capital call within the required period will be a Defaulting LP.</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15E43808"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Notice period for capital calls is a key operational provision. The notice period should be calibrated to the investor base (in particular investors subject to internal approval or treasury cycles), the Fund's investment pace and any subscription facility, and applied consistently with the default mechanics. The LPA must specify: (i) the mechanics of the call (notice content, payment method); (ii) remedies for default (interest, exclusion from future investments, compulsory transfer of interest, dilution); (iii) whether the GP can bridge-fund a call if an LP defaults. Subscription facilities secured against unfunded commitments may be used, subject to the LPA and the AIFM's leverage framework.</w:t>
            </w:r>
          </w:p>
        </w:tc>
      </w:tr>
      <w:tr w:rsidR="002031B7" w:rsidRPr="00FA1EC6" w14:paraId="6FF5AB5E"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73B49434"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lastRenderedPageBreak/>
              <w:t>Defaulting LP</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71A684E6" w14:textId="77777777" w:rsidR="008D0A5A" w:rsidRPr="00EB59FD" w:rsidRDefault="002031B7" w:rsidP="008C534D">
            <w:pPr>
              <w:spacing w:before="120" w:after="120"/>
              <w:jc w:val="both"/>
              <w:rPr>
                <w:rFonts w:ascii="Calibri Light" w:hAnsi="Calibri Light" w:cs="Calibri Light"/>
                <w:color w:val="1F3A93"/>
              </w:rPr>
            </w:pPr>
            <w:r>
              <w:rPr>
                <w:rFonts w:ascii="Calibri Light" w:hAnsi="Calibri Light" w:cs="Calibri Light"/>
                <w:color w:val="1F3A93"/>
              </w:rPr>
              <w:t>If a Limited Partner fails to fund a capital call within the required period (a "</w:t>
            </w:r>
            <w:r>
              <w:rPr>
                <w:rFonts w:ascii="Calibri Light" w:hAnsi="Calibri Light" w:cs="Calibri Light"/>
                <w:b/>
                <w:bCs/>
                <w:color w:val="1F3A93"/>
              </w:rPr>
              <w:t>Defaulting LP</w:t>
            </w:r>
            <w:r>
              <w:rPr>
                <w:rFonts w:ascii="Calibri Light" w:hAnsi="Calibri Light" w:cs="Calibri Light"/>
                <w:color w:val="1F3A93"/>
              </w:rPr>
              <w:t xml:space="preserve">"), the General Partner may exercise one or more of the following remedies: (i) charge default interest at </w:t>
            </w:r>
            <w:r>
              <w:rPr>
                <w:rFonts w:ascii="Calibri Light" w:hAnsi="Calibri Light" w:cs="Calibri Light"/>
                <w:b/>
                <w:bCs/>
                <w:color w:val="1F3A93"/>
              </w:rPr>
              <w:t>[[X%]]</w:t>
            </w:r>
            <w:r>
              <w:rPr>
                <w:rFonts w:ascii="Calibri Light" w:hAnsi="Calibri Light" w:cs="Calibri Light"/>
                <w:color w:val="1F3A93"/>
              </w:rPr>
              <w:t xml:space="preserve"> per annum on the overdue amount; (ii) exclude the Defaulting LP from distributions; (iii) compulsorily transfer the Defaulting LP's interest to a third party or existing Limited Partners at a discount of up to </w:t>
            </w:r>
            <w:r>
              <w:rPr>
                <w:rFonts w:ascii="Calibri Light" w:hAnsi="Calibri Light" w:cs="Calibri Light"/>
                <w:b/>
                <w:bCs/>
                <w:color w:val="1F3A93"/>
              </w:rPr>
              <w:t>[[X% / see mechanism below]</w:t>
            </w:r>
            <w:r>
              <w:rPr>
                <w:rFonts w:ascii="Calibri Light" w:hAnsi="Calibri Light" w:cs="Calibri Light"/>
                <w:color w:val="1F3A93"/>
              </w:rPr>
              <w:t>]; and/or (iv) pursue such other remedies as are available at law.</w:t>
            </w:r>
          </w:p>
          <w:p w14:paraId="1C456F0E" w14:textId="77777777" w:rsidR="00B30D41" w:rsidRPr="00EB59FD"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 xml:space="preserve">Valuation for Compulsory Transfer: </w:t>
            </w:r>
            <w:r>
              <w:rPr>
                <w:rFonts w:ascii="Calibri Light" w:hAnsi="Calibri Light" w:cs="Calibri Light"/>
                <w:color w:val="1F3A93"/>
              </w:rPr>
              <w:t xml:space="preserve">Where the General Partner elects to compulsorily transfer the interest of a Defaulting LP, the transfer price shall be determined as follows:(a) the fair market value of the Defaulting LP’s interest shall be calculated by the Administration Agent (or, at the General Partner’s discretion, by an independent valuer appointed by the General Partner) as at the date of the default notice, based on the most recent NAV of the Fund adjusted for: (i) any unrealised gains or losses not yet reflected in NAV; (ii) the Defaulting LP’s pro rata share of unfunded Commitments; and (iii) any accrued but unpaid distributions;(b) from the fair market value so determined, the General Partner shall deduct: (i) all amounts owing by the Defaulting LP to the Fund (including unpaid capital calls, default interest, and costs); (ii) a discount of up to </w:t>
            </w:r>
            <w:r>
              <w:rPr>
                <w:rFonts w:ascii="Calibri Light" w:hAnsi="Calibri Light" w:cs="Calibri Light"/>
                <w:b/>
                <w:bCs/>
                <w:color w:val="1F3A93"/>
              </w:rPr>
              <w:t>[[X%]]</w:t>
            </w:r>
            <w:r>
              <w:rPr>
                <w:rFonts w:ascii="Calibri Light" w:hAnsi="Calibri Light" w:cs="Calibri Light"/>
                <w:color w:val="1F3A93"/>
              </w:rPr>
              <w:t xml:space="preserve"> of the net value, reflecting the administrative burden, execution risk, and the Defaulting LP’s breach of its obligations; and (iii) all costs and expenses (including legal fees) incurred by the General Partner in connection with the default and transfer; and(c) the resulting amount (which may be zero or negative) shall be the transfer price payable to the Defaulting LP upon completion of the transfer.</w:t>
            </w:r>
          </w:p>
          <w:p w14:paraId="2EC23D89"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 xml:space="preserve">Procedural Safeguards: </w:t>
            </w:r>
            <w:r>
              <w:rPr>
                <w:rFonts w:ascii="Calibri Light" w:hAnsi="Calibri Light" w:cs="Calibri Light"/>
                <w:color w:val="1F3A93"/>
              </w:rPr>
              <w:t xml:space="preserve">Prior to effecting any compulsory transfer, the General Partner shall:(i) deliver written notice to the Defaulting LP specifying the default and the proposed remedy, and allowing </w:t>
            </w:r>
            <w:r>
              <w:rPr>
                <w:rFonts w:ascii="Calibri Light" w:hAnsi="Calibri Light" w:cs="Calibri Light"/>
                <w:b/>
                <w:bCs/>
                <w:color w:val="1F3A93"/>
              </w:rPr>
              <w:t>[[X Business Days]]</w:t>
            </w:r>
            <w:r>
              <w:rPr>
                <w:rFonts w:ascii="Calibri Light" w:hAnsi="Calibri Light" w:cs="Calibri Light"/>
                <w:color w:val="1F3A93"/>
              </w:rPr>
              <w:t xml:space="preserve"> for the Defaulting LP to cure the default;(ii) if the default is not cured within the cure period, deliver a second notice confirming the General Partner’s election to compulsorily transfer the interest and setting out the proposed transfer price and the basis for its calculation;(iii) offer the interest first to existing non-defaulting Limited Partners pro rata to their Commitments, for a period of </w:t>
            </w:r>
            <w:r>
              <w:rPr>
                <w:rFonts w:ascii="Calibri Light" w:hAnsi="Calibri Light" w:cs="Calibri Light"/>
                <w:b/>
                <w:bCs/>
                <w:color w:val="1F3A93"/>
              </w:rPr>
              <w:t>[[X Business Days]]</w:t>
            </w:r>
            <w:r>
              <w:rPr>
                <w:rFonts w:ascii="Calibri Light" w:hAnsi="Calibri Light" w:cs="Calibri Light"/>
                <w:color w:val="1F3A93"/>
              </w:rPr>
              <w:t>, before offering the interest to third parties; and(iv) complete the transfer and update the register of Limited Partners, with notice to the Defaulting LP and the transferee.The General Partner shall act in good faith in exercising its remedies and shall not exercise its discretion in a manner that is arbitrary or capricious. The Defaulting LP shall have no right to participate in any distributions or votes pending resolution of the default.</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6CBF7540" w14:textId="77777777" w:rsidR="00B30D41" w:rsidRPr="00EB59FD"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Defaulting LP provisions must be carefully drafted and consistently applied. The compulsory transfer remedy at a discount is the most powerful but legally sensitive — it must be permitted by the LPA and exercised consistently (selective enforcement can be challenged). Interest rates on default should be set at a level that incentivises prompt payment. The AIFM and depositary must be notified of defaulting LP situations given potential NAV and reporting implications.</w:t>
            </w:r>
          </w:p>
          <w:p w14:paraId="08021935" w14:textId="77777777" w:rsidR="00B30D41" w:rsidRPr="00EB59FD"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Valuation Methodology:</w:t>
            </w:r>
            <w:r>
              <w:rPr>
                <w:rFonts w:ascii="Calibri Light" w:hAnsi="Calibri Light" w:cs="Calibri Light"/>
                <w:i/>
                <w:iCs/>
                <w:color w:val="1F3A93"/>
                <w:sz w:val="16"/>
                <w:szCs w:val="16"/>
              </w:rPr>
              <w:t xml:space="preserve"> The valuation methodology for a compulsory transfer should be objective and verifiable, which may be anchored to the most recent NAV. The level of any discount balances deterrent effect against the risk of a provision being challenged as punitive, and is a point on which some institutional investors negotiate caps or independent valuation rights.</w:t>
            </w:r>
          </w:p>
          <w:p w14:paraId="538DAA98" w14:textId="77777777" w:rsidR="00B30D41" w:rsidRPr="00EB59FD"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Procedural Safeguards:</w:t>
            </w:r>
            <w:r>
              <w:rPr>
                <w:rFonts w:ascii="Calibri Light" w:hAnsi="Calibri Light" w:cs="Calibri Light"/>
                <w:i/>
                <w:iCs/>
                <w:color w:val="1F3A93"/>
                <w:sz w:val="16"/>
                <w:szCs w:val="16"/>
              </w:rPr>
              <w:t xml:space="preserve"> Due-process protections — a cure period, written notice and a right of first offer to existing LPs before any third-party sale — reduce legal risk and evidence good faith. The relevant periods should be long enough to allow genuine operational errors to be corrected, and the precise calibration depends on the investor base.</w:t>
            </w:r>
          </w:p>
          <w:p w14:paraId="7CD666BA" w14:textId="77777777" w:rsidR="00B30D41" w:rsidRPr="00EB59FD"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Good Faith Standard:</w:t>
            </w:r>
            <w:r>
              <w:rPr>
                <w:rFonts w:ascii="Calibri Light" w:hAnsi="Calibri Light" w:cs="Calibri Light"/>
                <w:i/>
                <w:iCs/>
                <w:color w:val="1F3A93"/>
                <w:sz w:val="16"/>
                <w:szCs w:val="16"/>
              </w:rPr>
              <w:t xml:space="preserve"> Including an express good faith standard provides a benchmark for judicial review if the exercise of discretion is challenged.</w:t>
            </w:r>
          </w:p>
          <w:p w14:paraId="482FE1C9"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b/>
                <w:bCs/>
                <w:i/>
                <w:iCs/>
                <w:color w:val="1F3A93"/>
                <w:sz w:val="16"/>
                <w:szCs w:val="16"/>
              </w:rPr>
              <w:t>Interaction with Clawback:</w:t>
            </w:r>
            <w:r>
              <w:rPr>
                <w:rFonts w:ascii="Calibri Light" w:hAnsi="Calibri Light" w:cs="Calibri Light"/>
                <w:i/>
                <w:iCs/>
                <w:color w:val="1F3A93"/>
                <w:sz w:val="16"/>
                <w:szCs w:val="16"/>
              </w:rPr>
              <w:t xml:space="preserve"> Consider whether a Defaulting LP forfeits its right to clawback payments and whether unfunded clawback obligations of the Defaulting LP may be set off against the transfer price.</w:t>
            </w:r>
          </w:p>
        </w:tc>
      </w:tr>
      <w:tr w:rsidR="002031B7" w:rsidRPr="00FA1EC6" w14:paraId="5B96EB2E"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3EBC1CB3"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Withdrawal / Redemption</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51A5DA11" w14:textId="77777777" w:rsidR="008C534D" w:rsidRDefault="002031B7" w:rsidP="008C534D">
            <w:pPr>
              <w:spacing w:before="120" w:after="120"/>
              <w:jc w:val="both"/>
              <w:rPr>
                <w:rFonts w:ascii="Calibri Light" w:hAnsi="Calibri Light" w:cs="Calibri Light"/>
                <w:color w:val="1F3A93"/>
              </w:rPr>
            </w:pPr>
            <w:r>
              <w:rPr>
                <w:rFonts w:ascii="Calibri Light" w:hAnsi="Calibri Light" w:cs="Calibri Light"/>
                <w:color w:val="1F3A93"/>
              </w:rPr>
              <w:t xml:space="preserve">Limited Partners may not redeem their interests or withdraw from the Fund without the prior written consent of the General Partner, which may be withheld in the General Partner's sole and absolute discretion. </w:t>
            </w:r>
            <w:r>
              <w:rPr>
                <w:rFonts w:ascii="Calibri Light" w:hAnsi="Calibri Light" w:cs="Calibri Light"/>
                <w:color w:val="1F3A93"/>
              </w:rPr>
              <w:t xml:space="preserve">The Fund is a closed-ended vehicle and does not provide redemption rights. </w:t>
            </w:r>
          </w:p>
          <w:p w14:paraId="62AB8C40"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color w:val="1F3A93"/>
              </w:rPr>
              <w:t>[For a SICAV-RAIF or SICAV-SIF, "variable capital" means only that the capital is at all times equal to the net asset value (Article 23 of the RAIF Law; Article 25 of the SIF Law); it does not require redemption rights. Issues and redemptions are governed by the constitutive documents (Article 26 of the RAIF Law; Article 28 of the SIF Law), so a closed-ended SICAV is available - but the LPA should say so expressly to avoid the apparent tension with the "variable capital" label.]</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6A30576D"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 xml:space="preserve">Closed-ended structure: no withdrawal right is a fundamental structural feature of PE/RE/private credit funds. This is required to enable long-term, illiquid investment strategies. </w:t>
            </w:r>
            <w:r>
              <w:rPr>
                <w:rFonts w:ascii="Calibri Light" w:hAnsi="Calibri Light" w:cs="Calibri Light"/>
                <w:i/>
                <w:iCs/>
                <w:color w:val="1F3A93"/>
                <w:sz w:val="16"/>
                <w:szCs w:val="16"/>
              </w:rPr>
              <w:t>If the Fund is structured as an ELTIF (European Long-Term Investment Fund), liquidity windows may be required under the ELTIF 2.0 Regulation - this standard template does not cover ELTIFs.</w:t>
            </w:r>
          </w:p>
        </w:tc>
      </w:tr>
      <w:tr w:rsidR="002031B7" w:rsidRPr="00FA1EC6" w14:paraId="4A32F184"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47C923D8"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Transfer of LP Interests</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0A70F109" w14:textId="77777777" w:rsidR="00B23E20" w:rsidRPr="00EB59FD" w:rsidRDefault="00B23E20" w:rsidP="008C534D">
            <w:pPr>
              <w:spacing w:before="120" w:after="120"/>
              <w:jc w:val="both"/>
              <w:rPr>
                <w:rFonts w:ascii="Calibri Light" w:hAnsi="Calibri Light" w:cs="Calibri Light"/>
                <w:color w:val="1F3A93"/>
              </w:rPr>
            </w:pPr>
            <w:r>
              <w:rPr>
                <w:rFonts w:ascii="Calibri Light" w:hAnsi="Calibri Light" w:cs="Calibri Light"/>
                <w:color w:val="1F3A93"/>
              </w:rPr>
              <w:t xml:space="preserve">No Limited Partner may sell, assign, transfer, exchange, pledge, encumber, grant or otherwise dispose any interest in the Fund without the prior written consent of the General Partner, which consent may be given or withheld in the General Partner’s sole and absolute discretion. </w:t>
            </w:r>
          </w:p>
          <w:p w14:paraId="29DB9866" w14:textId="77777777" w:rsidR="00B23E20" w:rsidRPr="00EB59FD" w:rsidRDefault="00B23E20" w:rsidP="008C534D">
            <w:pPr>
              <w:spacing w:before="120" w:after="120"/>
              <w:jc w:val="both"/>
              <w:rPr>
                <w:rFonts w:ascii="Calibri Light" w:hAnsi="Calibri Light" w:cs="Calibri Light"/>
                <w:color w:val="1F3A93"/>
              </w:rPr>
            </w:pPr>
            <w:r>
              <w:rPr>
                <w:rFonts w:ascii="Calibri Light" w:hAnsi="Calibri Light" w:cs="Calibri Light"/>
                <w:color w:val="1F3A93"/>
              </w:rPr>
              <w:t xml:space="preserve">No transferee of any interests in the Fund will become a substituted Limited Partner without the prior written consent of the General Partner, which prior written consent may be given or withheld in the General Partner’s sole and absolute discretion. </w:t>
            </w:r>
          </w:p>
          <w:p w14:paraId="68724862" w14:textId="77777777" w:rsidR="002031B7" w:rsidRPr="00EB59FD" w:rsidRDefault="00B23E20" w:rsidP="008C534D">
            <w:pPr>
              <w:spacing w:before="120" w:after="120"/>
              <w:jc w:val="both"/>
              <w:rPr>
                <w:rFonts w:ascii="Calibri Light" w:hAnsi="Calibri Light" w:cs="Calibri Light"/>
                <w:color w:val="1F3A93"/>
              </w:rPr>
            </w:pPr>
            <w:r>
              <w:rPr>
                <w:rFonts w:ascii="Calibri Light" w:hAnsi="Calibri Light" w:cs="Calibri Light"/>
                <w:color w:val="1F3A93"/>
              </w:rPr>
              <w:t>No Limited Partner may withdraw from the Fund without the prior written consent of the General Partner, which prior written consent may be given or withheld in the General Partner’s sole and absolute discretion.</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034FD4D0" w14:textId="77777777" w:rsidR="00E51EB2" w:rsidRPr="00EB59FD"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Transfer restrictions protect the closed-ended structure and enable the GP to manage the investor register. Interests of limited partners may only validly be transferred, assigned, subdivided in ownership or pledged in accordance with the terms and formalities set out in the LPA; absent such provisions, any such dealing requires the approval of the general partner(s). Interests of the general partner are subject to the same rule, save that absent LPA provisions the partners must decide as they would on an amendment of the corporate purpose. Critically, transfers, assignments and subdivisions of ownership are enforceable against the partnership and against third parties only once notified to, or accepted by, the partnership - the LPA and a term sheet should state the notification mechanism, and the register entry alone is not sufficient. The LPA may also authorise the management or the partners to reduce or repurchase interests on a partner’s request. </w:t>
            </w:r>
          </w:p>
          <w:p w14:paraId="28A3D0AF" w14:textId="77777777" w:rsidR="00E51EB2" w:rsidRPr="00EB59FD"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Key considerations, to be included as applicable: (i) transfers to affiliates and related vehicles, and whether the transferor remains jointly and severally liable; (ii) secondary transfers, subject to AML/KYC on the transferee; (iii) whether drag-along or tag-along provisions are appropriate. </w:t>
            </w:r>
          </w:p>
          <w:p w14:paraId="2F8987FE"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Include right of first offer / right of first refusal provisions if secondary liquidity is anticipated.</w:t>
            </w:r>
          </w:p>
        </w:tc>
      </w:tr>
      <w:tr w:rsidR="002031B7" w:rsidRPr="00FA1EC6" w14:paraId="7B3C8EE3" w14:textId="77777777" w:rsidTr="479FEC54">
        <w:tc>
          <w:tcPr>
            <w:tcW w:w="0" w:type="auto"/>
            <w:gridSpan w:val="3"/>
            <w:tcBorders>
              <w:top w:val="single" w:sz="6" w:space="0" w:color="0D2240"/>
              <w:left w:val="single" w:sz="6" w:space="0" w:color="0D2240"/>
              <w:bottom w:val="single" w:sz="6" w:space="0" w:color="0D2240"/>
              <w:right w:val="single" w:sz="6" w:space="0" w:color="0D2240"/>
            </w:tcBorders>
            <w:shd w:val="clear" w:color="auto" w:fill="1F3A93"/>
            <w:tcMar>
              <w:top w:w="100" w:type="dxa"/>
              <w:left w:w="180" w:type="dxa"/>
              <w:bottom w:w="100" w:type="dxa"/>
              <w:right w:w="180" w:type="dxa"/>
            </w:tcMar>
          </w:tcPr>
          <w:p w14:paraId="1F68316B" w14:textId="77777777" w:rsidR="002031B7" w:rsidRPr="00EB59FD" w:rsidRDefault="002031B7" w:rsidP="005F01A8">
            <w:pPr>
              <w:spacing w:before="120" w:after="120"/>
              <w:rPr>
                <w:rFonts w:ascii="Calibri Light" w:hAnsi="Calibri Light" w:cs="Calibri Light"/>
                <w:color w:val="1F3A93"/>
              </w:rPr>
            </w:pPr>
            <w:r>
              <w:rPr>
                <w:rFonts w:ascii="Calibri Light" w:hAnsi="Calibri Light" w:cs="Calibri Light"/>
                <w:b/>
                <w:bCs/>
                <w:color w:val="FFFFFF" w:themeColor="background1"/>
                <w:sz w:val="20"/>
                <w:szCs w:val="20"/>
              </w:rPr>
              <w:t>VI.   FEES AND ECONOMICS</w:t>
            </w:r>
          </w:p>
        </w:tc>
      </w:tr>
      <w:tr w:rsidR="002031B7" w:rsidRPr="00FA1EC6" w14:paraId="322180AA"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5D42A36F"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Subscription Fee</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6084B4A9" w14:textId="77777777" w:rsidR="002031B7" w:rsidRPr="00EB59FD" w:rsidRDefault="002031B7" w:rsidP="008C534D">
            <w:pPr>
              <w:spacing w:before="120" w:after="120"/>
              <w:jc w:val="both"/>
              <w:rPr>
                <w:rFonts w:ascii="Calibri Light" w:hAnsi="Calibri Light" w:cs="Calibri Light"/>
                <w:color w:val="1F3A93"/>
              </w:rPr>
            </w:pPr>
            <w:r>
              <w:rPr>
                <w:rFonts w:ascii="Calibri Light" w:hAnsi="Calibri Light" w:cs="Calibri Light"/>
                <w:b/>
                <w:bCs/>
                <w:color w:val="1F3A93"/>
              </w:rPr>
              <w:t>[[None / Up to X%]]</w:t>
            </w:r>
            <w:r>
              <w:rPr>
                <w:rFonts w:ascii="Calibri Light" w:hAnsi="Calibri Light" w:cs="Calibri Light"/>
                <w:color w:val="1F3A93"/>
              </w:rPr>
              <w:t xml:space="preserve"> of the subscription amount. </w:t>
            </w:r>
            <w:r>
              <w:rPr>
                <w:rFonts w:ascii="Calibri Light" w:hAnsi="Calibri Light" w:cs="Calibri Light"/>
                <w:b/>
                <w:bCs/>
                <w:color w:val="1F3A93"/>
              </w:rPr>
              <w:t>[[If charged:] ]</w:t>
            </w:r>
            <w:r>
              <w:rPr>
                <w:rFonts w:ascii="Calibri Light" w:hAnsi="Calibri Light" w:cs="Calibri Light"/>
                <w:color w:val="1F3A93"/>
              </w:rPr>
              <w:t xml:space="preserve">A subscription fee of up to </w:t>
            </w:r>
            <w:r>
              <w:rPr>
                <w:rFonts w:ascii="Calibri Light" w:hAnsi="Calibri Light" w:cs="Calibri Light"/>
                <w:b/>
                <w:bCs/>
                <w:color w:val="1F3A93"/>
              </w:rPr>
              <w:t>[[X%]]</w:t>
            </w:r>
            <w:r>
              <w:rPr>
                <w:rFonts w:ascii="Calibri Light" w:hAnsi="Calibri Light" w:cs="Calibri Light"/>
                <w:color w:val="1F3A93"/>
              </w:rPr>
              <w:t xml:space="preserve"> of the gross subscription amount is payable to the </w:t>
            </w:r>
            <w:r>
              <w:rPr>
                <w:rFonts w:ascii="Calibri Light" w:hAnsi="Calibri Light" w:cs="Calibri Light"/>
                <w:b/>
                <w:bCs/>
                <w:color w:val="1F3A93"/>
              </w:rPr>
              <w:t>[[General Partner / Distributor]]</w:t>
            </w:r>
            <w:r>
              <w:rPr>
                <w:rFonts w:ascii="Calibri Light" w:hAnsi="Calibri Light" w:cs="Calibri Light"/>
                <w:color w:val="1F3A93"/>
              </w:rPr>
              <w:t xml:space="preserve"> on each subscription</w:t>
            </w:r>
            <w:r>
              <w:rPr>
                <w:rFonts w:ascii="Calibri Light" w:hAnsi="Calibri Light" w:cs="Calibri Light"/>
                <w:b/>
                <w:bCs/>
                <w:color w:val="1F3A93"/>
              </w:rPr>
              <w:t>[, on top of the amount subscribed / to be deducted from the subscription amounts</w:t>
            </w:r>
            <w:r>
              <w:rPr>
                <w:rFonts w:ascii="Calibri Light" w:hAnsi="Calibri Light" w:cs="Calibri Light"/>
                <w:color w:val="1F3A93"/>
              </w:rPr>
              <w:t>].</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5E13A157" w14:textId="77777777" w:rsidR="002031B7" w:rsidRPr="00EB59FD" w:rsidRDefault="002031B7"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Where a subscription fee is charged, specify its beneficiary (the Fund, the General Partner or the distributor) and its basis. Where one applies, it matters whether it is payable to the Fund (increasing NAV) or to the GP or distributor (reducing investor economics), and all fees should be disclosed clearly in the PPM fee table.</w:t>
            </w:r>
          </w:p>
        </w:tc>
      </w:tr>
      <w:tr w:rsidR="00E51EB2" w:rsidRPr="00FA1EC6" w14:paraId="52C4B9B1"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4A51CF7A" w14:textId="77777777" w:rsidR="00E51EB2" w:rsidRPr="00EB59FD" w:rsidRDefault="00E51EB2" w:rsidP="008C534D">
            <w:pPr>
              <w:spacing w:before="120" w:after="120"/>
              <w:jc w:val="both"/>
              <w:rPr>
                <w:rFonts w:ascii="Calibri Light" w:hAnsi="Calibri Light" w:cs="Calibri Light"/>
                <w:b/>
                <w:bCs/>
                <w:color w:val="1F3A93"/>
              </w:rPr>
            </w:pPr>
            <w:r>
              <w:rPr>
                <w:rFonts w:ascii="Calibri Light" w:hAnsi="Calibri Light" w:cs="Calibri Light"/>
                <w:b/>
                <w:bCs/>
                <w:color w:val="1F3A93"/>
              </w:rPr>
              <w:t>Redemption fee</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3F914D5E" w14:textId="77777777" w:rsidR="00E51EB2" w:rsidRPr="00EB59FD" w:rsidRDefault="00E51EB2" w:rsidP="008C534D">
            <w:pPr>
              <w:spacing w:before="120" w:after="120"/>
              <w:jc w:val="both"/>
              <w:rPr>
                <w:rFonts w:ascii="Calibri Light" w:hAnsi="Calibri Light" w:cs="Calibri Light"/>
                <w:color w:val="1F3A93"/>
              </w:rPr>
            </w:pPr>
            <w:r>
              <w:rPr>
                <w:rFonts w:ascii="Calibri Light" w:hAnsi="Calibri Light" w:cs="Calibri Light"/>
                <w:color w:val="1F3A93"/>
              </w:rPr>
              <w:t>[[TBD]]</w:t>
            </w:r>
          </w:p>
          <w:p w14:paraId="4451E504" w14:textId="77777777" w:rsidR="00E51EB2" w:rsidRPr="00EB59FD" w:rsidRDefault="00E51EB2" w:rsidP="008C534D">
            <w:pPr>
              <w:spacing w:before="120" w:after="120"/>
              <w:jc w:val="both"/>
              <w:rPr>
                <w:rFonts w:ascii="Calibri Light" w:hAnsi="Calibri Light" w:cs="Calibri Light"/>
                <w:color w:val="1F3A93"/>
              </w:rPr>
            </w:pPr>
            <w:r>
              <w:rPr>
                <w:rFonts w:ascii="Calibri Light" w:hAnsi="Calibri Light" w:cs="Calibri Light"/>
                <w:color w:val="1F3A93"/>
              </w:rPr>
              <w:t>Example: At each redemption, a redemption fee of [[X per cent (X%)]] of the amount of the redemption is payable to the Compartment, and offsets, to the extent applicable, any NAV dilution caused by the early exit.</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14CBAA70" w14:textId="77777777" w:rsidR="00E51EB2" w:rsidRPr="00EB59FD" w:rsidRDefault="00E51EB2"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A redemption fee is relevant only where investors have a redemption or withdrawal right, which is not the case in a closed-ended structure as a matter of course. If included, a redemption fee would apply only in the narrow circumstances where the GP exercises its discretion to permit a redemption or early </w:t>
            </w:r>
            <w:r>
              <w:rPr>
                <w:rFonts w:ascii="Calibri Light" w:hAnsi="Calibri Light" w:cs="Calibri Light"/>
                <w:i/>
                <w:iCs/>
                <w:color w:val="1F3A93"/>
                <w:sz w:val="16"/>
                <w:szCs w:val="16"/>
              </w:rPr>
              <w:t>withdrawal, and functions as a disincentive to early exit or as partial compensation to remaining investors for the liquidity cost.</w:t>
            </w:r>
          </w:p>
          <w:p w14:paraId="64565850" w14:textId="77777777" w:rsidR="00E51EB2" w:rsidRPr="00EB59FD" w:rsidRDefault="00E51EB2"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Where used, the fee may be expressed as a percentage of the redemption amount and may be payable either to the Fund (benefiting remaining investors) or to the GP; the recipient should be specified clearly. Specify which clearly. If payable to the Fund, it partially offsets any NAV dilution caused by the early exit. If payable to the GP, it should be disclosed as a fee in the PPM fee table.</w:t>
            </w:r>
          </w:p>
          <w:p w14:paraId="5F86D5CB" w14:textId="77777777" w:rsidR="00E51EB2" w:rsidRPr="00EB59FD" w:rsidRDefault="00E51EB2"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Delete this row entirely if the Fund does not contemplate any form of investor redemption or early exit. For closed-ended structures without redemption rights, this row is not applicable.</w:t>
            </w:r>
          </w:p>
        </w:tc>
      </w:tr>
      <w:tr w:rsidR="00E51EB2" w:rsidRPr="00FA1EC6" w14:paraId="73A151EF"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6014992F" w14:textId="77777777" w:rsidR="00E51EB2" w:rsidRPr="00EB59FD" w:rsidRDefault="00E51EB2" w:rsidP="008C534D">
            <w:pPr>
              <w:spacing w:before="120" w:after="120"/>
              <w:jc w:val="both"/>
              <w:rPr>
                <w:rFonts w:ascii="Calibri Light" w:hAnsi="Calibri Light" w:cs="Calibri Light"/>
                <w:color w:val="1F3A93"/>
              </w:rPr>
            </w:pPr>
            <w:r>
              <w:rPr>
                <w:rFonts w:ascii="Calibri Light" w:hAnsi="Calibri Light" w:cs="Calibri Light"/>
                <w:b/>
                <w:bCs/>
                <w:color w:val="1F3A93"/>
              </w:rPr>
              <w:t>Management Fee</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114590C5" w14:textId="77777777" w:rsidR="00E51EB2" w:rsidRPr="00EB59FD" w:rsidRDefault="00E51EB2" w:rsidP="008C534D">
            <w:pPr>
              <w:spacing w:before="120" w:after="120"/>
              <w:jc w:val="both"/>
              <w:rPr>
                <w:rFonts w:ascii="Calibri Light" w:hAnsi="Calibri Light" w:cs="Calibri Light"/>
                <w:color w:val="1F3A93"/>
              </w:rPr>
            </w:pPr>
            <w:r>
              <w:rPr>
                <w:rFonts w:ascii="Calibri Light" w:hAnsi="Calibri Light" w:cs="Calibri Light"/>
                <w:color w:val="1F3A93"/>
              </w:rPr>
              <w:t xml:space="preserve">As compensation for services rendered in connection with the management of the Fund, the General Partner [or, where the Fund appoints an authorised external AIFM, the AIFM - specify which entity is entitled to the fee and, if it is split, on what basis] will be entitled to receive with respect to each Limited Partner </w:t>
            </w:r>
            <w:r>
              <w:rPr>
                <w:rFonts w:ascii="Calibri Light" w:hAnsi="Calibri Light" w:cs="Calibri Light"/>
                <w:b/>
                <w:bCs/>
                <w:color w:val="1F3A93"/>
              </w:rPr>
              <w:t>[(other than the Carried Interest Partner and affiliated Partners)</w:t>
            </w:r>
            <w:r>
              <w:rPr>
                <w:rFonts w:ascii="Calibri Light" w:hAnsi="Calibri Light" w:cs="Calibri Light"/>
                <w:color w:val="1F3A93"/>
              </w:rPr>
              <w:t>] fees in respect of services provided under the LPA (such fees collectively referred to as the "</w:t>
            </w:r>
            <w:r>
              <w:rPr>
                <w:rFonts w:ascii="Calibri Light" w:hAnsi="Calibri Light" w:cs="Calibri Light"/>
                <w:b/>
                <w:bCs/>
                <w:color w:val="1F3A93"/>
              </w:rPr>
              <w:t>Management Fee</w:t>
            </w:r>
            <w:r>
              <w:rPr>
                <w:rFonts w:ascii="Calibri Light" w:hAnsi="Calibri Light" w:cs="Calibri Light"/>
                <w:color w:val="1F3A93"/>
              </w:rPr>
              <w:t>"), of an amount equal to:</w:t>
            </w:r>
          </w:p>
          <w:p w14:paraId="34CF903C" w14:textId="77777777" w:rsidR="00E51EB2" w:rsidRPr="00EB59FD" w:rsidRDefault="00E51EB2" w:rsidP="008C534D">
            <w:pPr>
              <w:pStyle w:val="ListParagraph"/>
              <w:numPr>
                <w:ilvl w:val="0"/>
                <w:numId w:val="4"/>
              </w:numPr>
              <w:spacing w:before="120" w:after="120"/>
              <w:ind w:left="526" w:hanging="526"/>
              <w:jc w:val="both"/>
              <w:rPr>
                <w:rFonts w:ascii="Calibri Light" w:hAnsi="Calibri Light" w:cs="Calibri Light"/>
                <w:color w:val="1F3A93"/>
              </w:rPr>
            </w:pPr>
            <w:r>
              <w:rPr>
                <w:rFonts w:ascii="Calibri Light" w:hAnsi="Calibri Light" w:cs="Calibri Light"/>
                <w:color w:val="1F3A93"/>
              </w:rPr>
              <w:t xml:space="preserve">during the Investment Period </w:t>
            </w:r>
            <w:r>
              <w:rPr>
                <w:rFonts w:ascii="Calibri Light" w:hAnsi="Calibri Light" w:cs="Calibri Light"/>
                <w:b/>
                <w:bCs/>
                <w:color w:val="1F3A93"/>
              </w:rPr>
              <w:t xml:space="preserve">[[X]] </w:t>
            </w:r>
            <w:r>
              <w:rPr>
                <w:rFonts w:ascii="Calibri Light" w:hAnsi="Calibri Light" w:cs="Calibri Light"/>
                <w:color w:val="1F3A93"/>
              </w:rPr>
              <w:t>of the Aggregate Commitments;</w:t>
            </w:r>
          </w:p>
          <w:p w14:paraId="19DD3041" w14:textId="77777777" w:rsidR="00E51EB2" w:rsidRPr="00EB59FD" w:rsidRDefault="00E51EB2" w:rsidP="008C534D">
            <w:pPr>
              <w:pStyle w:val="ListParagraph"/>
              <w:numPr>
                <w:ilvl w:val="0"/>
                <w:numId w:val="4"/>
              </w:numPr>
              <w:spacing w:before="120" w:after="120"/>
              <w:ind w:left="521" w:hanging="521"/>
              <w:jc w:val="both"/>
              <w:rPr>
                <w:rFonts w:ascii="Calibri Light" w:hAnsi="Calibri Light" w:cs="Calibri Light"/>
                <w:color w:val="1F3A93"/>
              </w:rPr>
            </w:pPr>
            <w:r>
              <w:rPr>
                <w:rFonts w:ascii="Calibri Light" w:hAnsi="Calibri Light" w:cs="Calibri Light"/>
                <w:color w:val="1F3A93"/>
              </w:rPr>
              <w:t>after the end of the Investment Period, the Management Fee shall decline by [[X bps]] of the Aggregate Commitments to [[X%]] per annum;</w:t>
            </w:r>
          </w:p>
          <w:p w14:paraId="5590FB03" w14:textId="77777777" w:rsidR="00E51EB2" w:rsidRPr="00EB59FD" w:rsidRDefault="00E51EB2" w:rsidP="008C534D">
            <w:pPr>
              <w:pStyle w:val="ListParagraph"/>
              <w:numPr>
                <w:ilvl w:val="0"/>
                <w:numId w:val="4"/>
              </w:numPr>
              <w:spacing w:before="120" w:after="120"/>
              <w:ind w:left="521" w:hanging="521"/>
              <w:jc w:val="both"/>
              <w:rPr>
                <w:rFonts w:ascii="Calibri Light" w:hAnsi="Calibri Light" w:cs="Calibri Light"/>
                <w:color w:val="1F3A93"/>
              </w:rPr>
            </w:pPr>
            <w:r>
              <w:rPr>
                <w:rFonts w:ascii="Calibri Light" w:hAnsi="Calibri Light" w:cs="Calibri Light"/>
                <w:color w:val="1F3A93"/>
              </w:rPr>
              <w:t>as of and during a Suspension Period, the Management Fee shall be reduced to [[X%]] p.a. of the Aggregate Commitments in relation to points (i) and (ii) above.</w:t>
            </w:r>
          </w:p>
          <w:p w14:paraId="35FA9448" w14:textId="77777777" w:rsidR="00E51EB2" w:rsidRPr="00EB59FD" w:rsidRDefault="00E51EB2" w:rsidP="008C534D">
            <w:pPr>
              <w:spacing w:before="120" w:after="120"/>
              <w:jc w:val="both"/>
              <w:rPr>
                <w:rFonts w:ascii="Calibri Light" w:hAnsi="Calibri Light" w:cs="Calibri Light"/>
                <w:color w:val="1F3A93"/>
              </w:rPr>
            </w:pPr>
            <w:r>
              <w:rPr>
                <w:rFonts w:ascii="Calibri Light" w:hAnsi="Calibri Light" w:cs="Calibri Light"/>
                <w:color w:val="1F3A93"/>
              </w:rPr>
              <w:t xml:space="preserve">Management Fees are payable </w:t>
            </w:r>
            <w:r>
              <w:rPr>
                <w:rFonts w:ascii="Calibri Light" w:hAnsi="Calibri Light" w:cs="Calibri Light"/>
                <w:b/>
                <w:bCs/>
                <w:color w:val="1F3A93"/>
              </w:rPr>
              <w:t>[[quarterly / semi-annually]</w:t>
            </w:r>
            <w:r>
              <w:rPr>
                <w:rFonts w:ascii="Calibri Light" w:hAnsi="Calibri Light" w:cs="Calibri Light"/>
                <w:color w:val="1F3A93"/>
              </w:rPr>
              <w:t>] in advance.</w:t>
            </w:r>
          </w:p>
          <w:p w14:paraId="6917611A" w14:textId="77777777" w:rsidR="00E51EB2" w:rsidRPr="00EB59FD" w:rsidRDefault="00E51EB2" w:rsidP="008C534D">
            <w:pPr>
              <w:spacing w:before="120" w:after="120"/>
              <w:jc w:val="both"/>
              <w:rPr>
                <w:rFonts w:ascii="Calibri Light" w:hAnsi="Calibri Light" w:cs="Calibri Light"/>
                <w:color w:val="1F3A93"/>
              </w:rPr>
            </w:pPr>
            <w:r>
              <w:rPr>
                <w:rFonts w:ascii="Calibri Light" w:hAnsi="Calibri Light" w:cs="Calibri Light"/>
                <w:color w:val="1F3A93"/>
              </w:rPr>
              <w:t xml:space="preserve">OR </w:t>
            </w:r>
          </w:p>
          <w:p w14:paraId="40F4FF35" w14:textId="77777777" w:rsidR="00E51EB2" w:rsidRPr="00EB59FD" w:rsidRDefault="00E51EB2" w:rsidP="008C534D">
            <w:pPr>
              <w:spacing w:before="120" w:after="120"/>
              <w:jc w:val="both"/>
              <w:rPr>
                <w:rFonts w:ascii="Calibri Light" w:hAnsi="Calibri Light" w:cs="Calibri Light"/>
                <w:color w:val="1F3A93"/>
              </w:rPr>
            </w:pPr>
            <w:r>
              <w:rPr>
                <w:rFonts w:ascii="Calibri Light" w:hAnsi="Calibri Light" w:cs="Calibri Light"/>
                <w:color w:val="1F3A93"/>
              </w:rPr>
              <w:t>During the Investment Period: [[X%]] per annum of Aggregate Commitments. After the Investment Period: [[X%]] per annum of invested cost of unrealised investments. During a Suspension Period: management fee reduced to [[</w:t>
            </w:r>
            <w:r>
              <w:rPr>
                <w:rFonts w:ascii="Calibri Light" w:hAnsi="Calibri Light" w:cs="Calibri Light"/>
                <w:b/>
                <w:bCs/>
                <w:color w:val="1F3A93"/>
              </w:rPr>
              <w:t>X%</w:t>
            </w:r>
            <w:r>
              <w:rPr>
                <w:rFonts w:ascii="Calibri Light" w:hAnsi="Calibri Light" w:cs="Calibri Light"/>
                <w:color w:val="1F3A93"/>
              </w:rPr>
              <w:t xml:space="preserve">]] per annum. Management Fees are payable </w:t>
            </w:r>
            <w:r>
              <w:rPr>
                <w:rFonts w:ascii="Calibri Light" w:hAnsi="Calibri Light" w:cs="Calibri Light"/>
                <w:b/>
                <w:bCs/>
                <w:color w:val="1F3A93"/>
              </w:rPr>
              <w:t>[[quarterly / semi-annually]</w:t>
            </w:r>
            <w:r>
              <w:rPr>
                <w:rFonts w:ascii="Calibri Light" w:hAnsi="Calibri Light" w:cs="Calibri Light"/>
                <w:color w:val="1F3A93"/>
              </w:rPr>
              <w:t>] in advance.</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11EF6927" w14:textId="77777777" w:rsidR="00E51EB2" w:rsidRPr="00EB59FD" w:rsidRDefault="00E51EB2"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Management fee structures vary significantly with strategy, investor profile, target fund size and market positioning. During the Investment Period the fee may be calculated on committed capital, though the basis and rate are negotiated and the terms here are illustrative. </w:t>
            </w:r>
          </w:p>
          <w:p w14:paraId="28A1A8EE" w14:textId="77777777" w:rsidR="00E51EB2" w:rsidRPr="00EB59FD" w:rsidRDefault="00E51EB2" w:rsidP="008C534D">
            <w:pPr>
              <w:spacing w:before="120" w:after="120"/>
              <w:jc w:val="both"/>
              <w:rPr>
                <w:rFonts w:ascii="Calibri Light" w:hAnsi="Calibri Light" w:cs="Calibri Light"/>
                <w:i/>
                <w:iCs/>
                <w:color w:val="1F3A93"/>
                <w:sz w:val="16"/>
                <w:szCs w:val="16"/>
              </w:rPr>
            </w:pPr>
          </w:p>
          <w:p w14:paraId="5CDA68EF" w14:textId="77777777" w:rsidR="00E51EB2" w:rsidRPr="00EB59FD" w:rsidRDefault="00E51EB2"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After the Investment Period the fee may step down — whether in rate or basis — to reflect reduced active management. The mechanics, together with related points such as fee offsets for portfolio-company income, commitment-size or early-bird discounts and fee/carry trade-offs, are among the more heavily negotiated economic terms and depend on the investor base and the manager’s positioning.</w:t>
            </w:r>
          </w:p>
          <w:p w14:paraId="41F874B0" w14:textId="77777777" w:rsidR="00E51EB2" w:rsidRPr="00EB59FD" w:rsidRDefault="00E51EB2"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Note: VAT treatment depends on structure and services and should be confirmed with tax counsel</w:t>
            </w:r>
          </w:p>
        </w:tc>
      </w:tr>
      <w:tr w:rsidR="00E51EB2" w:rsidRPr="00FA1EC6" w14:paraId="20E802DD"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0ED14167" w14:textId="77777777" w:rsidR="00E51EB2" w:rsidRPr="00EB59FD" w:rsidRDefault="00E51EB2" w:rsidP="008C534D">
            <w:pPr>
              <w:spacing w:before="120" w:after="120"/>
              <w:jc w:val="both"/>
              <w:rPr>
                <w:rFonts w:ascii="Calibri Light" w:hAnsi="Calibri Light" w:cs="Calibri Light"/>
                <w:color w:val="1F3A93"/>
              </w:rPr>
            </w:pPr>
            <w:r>
              <w:rPr>
                <w:rFonts w:ascii="Calibri Light" w:hAnsi="Calibri Light" w:cs="Calibri Light"/>
                <w:b/>
                <w:bCs/>
                <w:color w:val="1F3A93"/>
              </w:rPr>
              <w:t>Fund Expenses</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0CC6BE66" w14:textId="77777777" w:rsidR="00E51EB2" w:rsidRPr="00EB59FD" w:rsidRDefault="00E51EB2" w:rsidP="008C534D">
            <w:pPr>
              <w:spacing w:before="120" w:after="120"/>
              <w:jc w:val="both"/>
              <w:rPr>
                <w:rFonts w:ascii="Calibri Light" w:hAnsi="Calibri Light" w:cs="Calibri Light"/>
                <w:color w:val="1F3A93"/>
              </w:rPr>
            </w:pPr>
            <w:r>
              <w:rPr>
                <w:rFonts w:ascii="Calibri Light" w:hAnsi="Calibri Light" w:cs="Calibri Light"/>
                <w:color w:val="1F3A93"/>
              </w:rPr>
              <w:t xml:space="preserve">The Fund will bear all out-of-pocket expenses incurred in connection with its operation, including: (i) formation and launch expenses (up to </w:t>
            </w:r>
            <w:r>
              <w:rPr>
                <w:rFonts w:ascii="Calibri Light" w:hAnsi="Calibri Light" w:cs="Calibri Light"/>
                <w:b/>
                <w:bCs/>
                <w:color w:val="1F3A93"/>
              </w:rPr>
              <w:t>[[X% of Aggregate Commitments / EUR X]]</w:t>
            </w:r>
            <w:r>
              <w:rPr>
                <w:rFonts w:ascii="Calibri Light" w:hAnsi="Calibri Light" w:cs="Calibri Light"/>
                <w:color w:val="1F3A93"/>
              </w:rPr>
              <w:t xml:space="preserve">, amortised over </w:t>
            </w:r>
            <w:r>
              <w:rPr>
                <w:rFonts w:ascii="Calibri Light" w:hAnsi="Calibri Light" w:cs="Calibri Light"/>
                <w:b/>
                <w:bCs/>
                <w:color w:val="1F3A93"/>
              </w:rPr>
              <w:t>[[X years]</w:t>
            </w:r>
            <w:r>
              <w:rPr>
                <w:rFonts w:ascii="Calibri Light" w:hAnsi="Calibri Light" w:cs="Calibri Light"/>
                <w:color w:val="1F3A93"/>
              </w:rPr>
              <w:t xml:space="preserve">]; (ii) legal, regulatory, audit, and tax advisory fees; (iii) Depositary, AIFM, administration, and custodian fees; (iv) Advisory Committee expenses; (v) portfolio company monitoring expenses; and (vi) all other expenses properly attributable to the Fund. Management company overheads, salaries, and office </w:t>
            </w:r>
            <w:r>
              <w:rPr>
                <w:rFonts w:ascii="Calibri Light" w:hAnsi="Calibri Light" w:cs="Calibri Light"/>
                <w:color w:val="1F3A93"/>
              </w:rPr>
              <w:t>costs of the General Partner are covered by the Management Fee.</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3F830873" w14:textId="77777777" w:rsidR="00E51EB2" w:rsidRPr="00EB59FD" w:rsidRDefault="00E51EB2"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lastRenderedPageBreak/>
              <w:t>The allocation of expenses between the GP (covered by the management fee) and the Fund (borne by investors) is a significant negotiation point. The broad principle is that portfolio-related costs sit with the Fund and the GP’s own overhead sits with the GP, but the treatment of items such as placement, broken-deal and transaction costs, and any cap on formation expenses, varies and should be addressed in a detailed expense policy.</w:t>
            </w:r>
          </w:p>
        </w:tc>
      </w:tr>
      <w:tr w:rsidR="00015E03" w:rsidRPr="00FA1EC6" w14:paraId="03065E5B" w14:textId="77777777" w:rsidTr="479FEC54">
        <w:tc>
          <w:tcPr>
            <w:tcW w:w="1900" w:type="dxa"/>
            <w:vMerge w:val="restart"/>
            <w:tcBorders>
              <w:top w:val="single" w:sz="3" w:space="0" w:color="C8B882"/>
              <w:left w:val="single" w:sz="3" w:space="0" w:color="C8B882"/>
              <w:right w:val="single" w:sz="3" w:space="0" w:color="C8B882"/>
            </w:tcBorders>
            <w:tcMar>
              <w:top w:w="80" w:type="dxa"/>
              <w:left w:w="120" w:type="dxa"/>
              <w:bottom w:w="80" w:type="dxa"/>
              <w:right w:w="120" w:type="dxa"/>
            </w:tcMar>
          </w:tcPr>
          <w:p w14:paraId="7FC29F04" w14:textId="77777777" w:rsidR="00015E03" w:rsidRPr="00EB59FD" w:rsidRDefault="00015E03" w:rsidP="008C534D">
            <w:pPr>
              <w:spacing w:before="120" w:after="120"/>
              <w:jc w:val="both"/>
              <w:rPr>
                <w:rFonts w:ascii="Calibri Light" w:hAnsi="Calibri Light" w:cs="Calibri Light"/>
                <w:color w:val="1F3A93"/>
              </w:rPr>
            </w:pPr>
            <w:r>
              <w:rPr>
                <w:rFonts w:ascii="Calibri Light" w:hAnsi="Calibri Light" w:cs="Calibri Light"/>
                <w:b/>
                <w:bCs/>
                <w:color w:val="1F3A93"/>
              </w:rPr>
              <w:t>Carried Interest and Distributions</w:t>
            </w:r>
          </w:p>
          <w:p w14:paraId="685B4846" w14:textId="77777777" w:rsidR="00015E03" w:rsidRPr="00EB59FD" w:rsidRDefault="00015E03" w:rsidP="008C534D">
            <w:pPr>
              <w:spacing w:before="120" w:after="120"/>
              <w:jc w:val="both"/>
              <w:rPr>
                <w:rFonts w:ascii="Calibri Light" w:hAnsi="Calibri Light" w:cs="Calibri Light"/>
                <w:color w:val="1F3A93"/>
              </w:rPr>
            </w:pPr>
          </w:p>
          <w:p w14:paraId="10F08DF5" w14:textId="77777777" w:rsidR="00015E03" w:rsidRPr="00EB59FD" w:rsidRDefault="00015E03" w:rsidP="008C534D">
            <w:pPr>
              <w:spacing w:before="120" w:after="120"/>
              <w:jc w:val="both"/>
              <w:rPr>
                <w:rFonts w:ascii="Calibri Light" w:hAnsi="Calibri Light" w:cs="Calibri Light"/>
                <w:color w:val="1F3A93"/>
              </w:rPr>
            </w:pPr>
          </w:p>
          <w:p w14:paraId="7782B263" w14:textId="77777777" w:rsidR="00015E03" w:rsidRPr="00EB59FD" w:rsidRDefault="00015E03" w:rsidP="008C534D">
            <w:pPr>
              <w:spacing w:before="120" w:after="120"/>
              <w:jc w:val="both"/>
              <w:rPr>
                <w:rFonts w:ascii="Calibri Light" w:hAnsi="Calibri Light" w:cs="Calibri Light"/>
                <w:color w:val="1F3A93"/>
              </w:rPr>
            </w:pPr>
          </w:p>
          <w:p w14:paraId="6C027D9E" w14:textId="77777777" w:rsidR="00015E03" w:rsidRPr="00EB59FD" w:rsidRDefault="00015E03" w:rsidP="008C534D">
            <w:pPr>
              <w:spacing w:before="120" w:after="120"/>
              <w:jc w:val="both"/>
              <w:rPr>
                <w:rFonts w:ascii="Calibri Light" w:hAnsi="Calibri Light" w:cs="Calibri Light"/>
                <w:color w:val="1F3A93"/>
              </w:rPr>
            </w:pP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369A07C4" w14:textId="77777777" w:rsidR="00015E03" w:rsidRPr="00EB59FD" w:rsidRDefault="00015E03" w:rsidP="008C534D">
            <w:pPr>
              <w:spacing w:before="120" w:after="120"/>
              <w:jc w:val="both"/>
              <w:rPr>
                <w:rFonts w:ascii="Calibri Light" w:hAnsi="Calibri Light" w:cs="Calibri Light"/>
                <w:color w:val="1F3A93"/>
              </w:rPr>
            </w:pPr>
            <w:r>
              <w:rPr>
                <w:rFonts w:ascii="Calibri Light" w:hAnsi="Calibri Light" w:cs="Calibri Light"/>
                <w:color w:val="1F3A93"/>
              </w:rPr>
              <w:t>Amounts determined by the General Partner (in its discretion) as being available for distribution will be apportioned between each of the Partners in proportion to their respective investment percentages and between each Limited Partner and the General Partner [</w:t>
            </w:r>
            <w:r>
              <w:rPr>
                <w:rFonts w:ascii="Calibri Light" w:hAnsi="Calibri Light" w:cs="Calibri Light"/>
                <w:b/>
                <w:bCs/>
                <w:color w:val="1F3A93"/>
              </w:rPr>
              <w:t>(or to such other person as the General Partner may direct, such recipient(s), the "Carried Interest Partner")</w:t>
            </w:r>
            <w:r>
              <w:rPr>
                <w:rFonts w:ascii="Calibri Light" w:hAnsi="Calibri Light" w:cs="Calibri Light"/>
                <w:color w:val="1F3A93"/>
              </w:rPr>
              <w:t>] in the following order of priority (the "</w:t>
            </w:r>
            <w:r>
              <w:rPr>
                <w:rFonts w:ascii="Calibri Light" w:hAnsi="Calibri Light" w:cs="Calibri Light"/>
                <w:b/>
                <w:bCs/>
                <w:color w:val="1F3A93"/>
              </w:rPr>
              <w:t>Waterfall</w:t>
            </w:r>
            <w:r>
              <w:rPr>
                <w:rFonts w:ascii="Calibri Light" w:hAnsi="Calibri Light" w:cs="Calibri Light"/>
                <w:color w:val="1F3A93"/>
              </w:rPr>
              <w:t>"):</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4E28BD4C" w14:textId="77777777" w:rsidR="00C037F3" w:rsidRPr="00EB59FD" w:rsidRDefault="00015E03"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The distribution waterfall defines the economics of the fund. The structure below is a whole-fund European waterfall. </w:t>
            </w:r>
          </w:p>
          <w:p w14:paraId="0BF2F750" w14:textId="77777777" w:rsidR="00C037F3" w:rsidRPr="00EB59FD" w:rsidRDefault="00C037F3"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The preferred return and GP catch-up are calculated on the Fund's aggregate performance (whole-of-fund or "European" waterfall), not investment by investment (deal-by-deal or "American" waterfall). Confirm the model adopted and adjust the drafting accordingly.</w:t>
            </w:r>
          </w:p>
        </w:tc>
      </w:tr>
      <w:tr w:rsidR="00015E03" w:rsidRPr="00FA1EC6" w14:paraId="7B35D8A9" w14:textId="77777777" w:rsidTr="479FEC54">
        <w:tc>
          <w:tcPr>
            <w:tcW w:w="1900" w:type="dxa"/>
            <w:vMerge/>
            <w:tcMar>
              <w:top w:w="80" w:type="dxa"/>
              <w:left w:w="120" w:type="dxa"/>
              <w:bottom w:w="80" w:type="dxa"/>
              <w:right w:w="120" w:type="dxa"/>
            </w:tcMar>
          </w:tcPr>
          <w:p w14:paraId="265E7591" w14:textId="77777777" w:rsidR="00015E03" w:rsidRPr="00EB59FD" w:rsidRDefault="00015E03" w:rsidP="008C534D">
            <w:pPr>
              <w:spacing w:before="120" w:after="120"/>
              <w:jc w:val="both"/>
              <w:rPr>
                <w:rFonts w:ascii="Calibri Light" w:hAnsi="Calibri Light" w:cs="Calibri Light"/>
                <w:color w:val="1F3A93"/>
              </w:rPr>
            </w:pP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10D11179" w14:textId="77777777" w:rsidR="00015E03" w:rsidRPr="00EB59FD" w:rsidRDefault="00015E03" w:rsidP="008C534D">
            <w:pPr>
              <w:spacing w:before="120" w:after="120"/>
              <w:jc w:val="both"/>
              <w:rPr>
                <w:rFonts w:ascii="Calibri Light" w:hAnsi="Calibri Light" w:cs="Calibri Light"/>
                <w:color w:val="1F3A93"/>
              </w:rPr>
            </w:pPr>
            <w:r>
              <w:rPr>
                <w:rFonts w:ascii="Calibri Light" w:hAnsi="Calibri Light" w:cs="Calibri Light"/>
                <w:b/>
                <w:bCs/>
                <w:color w:val="1F3A93"/>
              </w:rPr>
              <w:t>(a) Return of Capital</w:t>
            </w:r>
            <w:r>
              <w:rPr>
                <w:rFonts w:ascii="Calibri Light" w:hAnsi="Calibri Light" w:cs="Calibri Light"/>
                <w:color w:val="1F3A93"/>
              </w:rPr>
              <w:t xml:space="preserve"> </w:t>
            </w:r>
          </w:p>
          <w:p w14:paraId="3F98189D" w14:textId="77777777" w:rsidR="00015E03" w:rsidRPr="00EB59FD" w:rsidRDefault="00015E03" w:rsidP="008C534D">
            <w:pPr>
              <w:spacing w:before="120" w:after="120"/>
              <w:jc w:val="both"/>
              <w:rPr>
                <w:rFonts w:ascii="Calibri Light" w:hAnsi="Calibri Light" w:cs="Calibri Light"/>
                <w:color w:val="1F3A93"/>
              </w:rPr>
            </w:pPr>
            <w:r>
              <w:rPr>
                <w:rFonts w:ascii="Calibri Light" w:hAnsi="Calibri Light" w:cs="Calibri Light"/>
                <w:color w:val="1F3A93"/>
              </w:rPr>
              <w:t>First, 100% to the Limited Partners, pro rata to their Drawn Commitments, until each Limited Partner has received aggregate distributions equal to its total Drawn Commitments (return of capital).</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48F507B7" w14:textId="77777777" w:rsidR="00015E03" w:rsidRPr="00EB59FD" w:rsidRDefault="00015E03"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Return of capital is paid first, before any preferred return or carried interest. 'Drawn Commitments' means amounts actually called (not committed). Confirm whether management fees and fund expenses paid by investors count as 'Drawn Commitments' for waterfall purposes — including them increases the LP capital that must be returned before carry is payable.</w:t>
            </w:r>
          </w:p>
        </w:tc>
      </w:tr>
      <w:tr w:rsidR="00015E03" w:rsidRPr="00FA1EC6" w14:paraId="42C892D3" w14:textId="77777777" w:rsidTr="479FEC54">
        <w:tc>
          <w:tcPr>
            <w:tcW w:w="1900" w:type="dxa"/>
            <w:vMerge/>
            <w:tcMar>
              <w:top w:w="80" w:type="dxa"/>
              <w:left w:w="120" w:type="dxa"/>
              <w:bottom w:w="80" w:type="dxa"/>
              <w:right w:w="120" w:type="dxa"/>
            </w:tcMar>
          </w:tcPr>
          <w:p w14:paraId="5BC5BBC9" w14:textId="77777777" w:rsidR="00015E03" w:rsidRPr="00EB59FD" w:rsidRDefault="00015E03" w:rsidP="008C534D">
            <w:pPr>
              <w:spacing w:before="120" w:after="120"/>
              <w:jc w:val="both"/>
              <w:rPr>
                <w:rFonts w:ascii="Calibri Light" w:hAnsi="Calibri Light" w:cs="Calibri Light"/>
                <w:color w:val="1F3A93"/>
              </w:rPr>
            </w:pP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4BC1F98B" w14:textId="77777777" w:rsidR="00015E03" w:rsidRPr="00EB59FD" w:rsidRDefault="00015E03" w:rsidP="008C534D">
            <w:pPr>
              <w:spacing w:before="120" w:after="120"/>
              <w:jc w:val="both"/>
              <w:rPr>
                <w:rFonts w:ascii="Calibri Light" w:hAnsi="Calibri Light" w:cs="Calibri Light"/>
                <w:color w:val="1F3A93"/>
              </w:rPr>
            </w:pPr>
            <w:r>
              <w:rPr>
                <w:rFonts w:ascii="Calibri Light" w:hAnsi="Calibri Light" w:cs="Calibri Light"/>
                <w:b/>
                <w:bCs/>
                <w:color w:val="1F3A93"/>
              </w:rPr>
              <w:t>(b) Preferred Return</w:t>
            </w:r>
            <w:r>
              <w:rPr>
                <w:rFonts w:ascii="Calibri Light" w:hAnsi="Calibri Light" w:cs="Calibri Light"/>
                <w:color w:val="1F3A93"/>
              </w:rPr>
              <w:t xml:space="preserve"> </w:t>
            </w:r>
          </w:p>
          <w:p w14:paraId="6B8F1612" w14:textId="77777777" w:rsidR="00015E03" w:rsidRPr="00EB59FD" w:rsidRDefault="00015E03" w:rsidP="008C534D">
            <w:pPr>
              <w:spacing w:before="120" w:after="120"/>
              <w:jc w:val="both"/>
              <w:rPr>
                <w:rFonts w:ascii="Calibri Light" w:hAnsi="Calibri Light" w:cs="Calibri Light"/>
                <w:color w:val="1F3A93"/>
              </w:rPr>
            </w:pPr>
            <w:r>
              <w:rPr>
                <w:rFonts w:ascii="Calibri Light" w:hAnsi="Calibri Light" w:cs="Calibri Light"/>
                <w:color w:val="1F3A93"/>
              </w:rPr>
              <w:t xml:space="preserve">Second, 100% to the Limited Partners, until each Limited Partner has received a cumulative preferred return (hurdle) of </w:t>
            </w:r>
            <w:r>
              <w:rPr>
                <w:rFonts w:ascii="Calibri Light" w:hAnsi="Calibri Light" w:cs="Calibri Light"/>
                <w:b/>
                <w:bCs/>
                <w:color w:val="1F3A93"/>
              </w:rPr>
              <w:t>[[X%]]</w:t>
            </w:r>
            <w:r>
              <w:rPr>
                <w:rFonts w:ascii="Calibri Light" w:hAnsi="Calibri Light" w:cs="Calibri Light"/>
                <w:color w:val="1F3A93"/>
              </w:rPr>
              <w:t xml:space="preserve"> per annum [[</w:t>
            </w:r>
            <w:r>
              <w:rPr>
                <w:rFonts w:ascii="Calibri Light" w:hAnsi="Calibri Light" w:cs="Calibri Light"/>
                <w:b/>
                <w:bCs/>
                <w:color w:val="1F3A93"/>
              </w:rPr>
              <w:t>compounded annually / simple]</w:t>
            </w:r>
            <w:r>
              <w:rPr>
                <w:rFonts w:ascii="Calibri Light" w:hAnsi="Calibri Light" w:cs="Calibri Light"/>
                <w:color w:val="1F3A93"/>
              </w:rPr>
              <w:t>] on its Drawn Commitments from the date of each drawdown (the "</w:t>
            </w:r>
            <w:r>
              <w:rPr>
                <w:rFonts w:ascii="Calibri Light" w:hAnsi="Calibri Light" w:cs="Calibri Light"/>
                <w:b/>
                <w:bCs/>
                <w:color w:val="1F3A93"/>
              </w:rPr>
              <w:t>Preferred Return</w:t>
            </w:r>
            <w:r>
              <w:rPr>
                <w:rFonts w:ascii="Calibri Light" w:hAnsi="Calibri Light" w:cs="Calibri Light"/>
                <w:color w:val="1F3A93"/>
              </w:rPr>
              <w:t>").</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6B4EA2CD" w14:textId="77777777" w:rsidR="00015E03" w:rsidRPr="00EB59FD" w:rsidRDefault="00015E03"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The preferred return (hurdle) is the return LPs receive before the GP participates in profits. The level varies with the strategy and risk profile and the related mechanics (simple vs. compounded, gross vs. net, and the calculation date) are negotiated points that should be settled consistently across the documentation.</w:t>
            </w:r>
          </w:p>
        </w:tc>
      </w:tr>
      <w:tr w:rsidR="00015E03" w:rsidRPr="00FA1EC6" w14:paraId="565BB299" w14:textId="77777777" w:rsidTr="479FEC54">
        <w:tc>
          <w:tcPr>
            <w:tcW w:w="1900" w:type="dxa"/>
            <w:vMerge/>
            <w:tcMar>
              <w:top w:w="80" w:type="dxa"/>
              <w:left w:w="120" w:type="dxa"/>
              <w:bottom w:w="80" w:type="dxa"/>
              <w:right w:w="120" w:type="dxa"/>
            </w:tcMar>
          </w:tcPr>
          <w:p w14:paraId="23B58856" w14:textId="77777777" w:rsidR="00015E03" w:rsidRPr="00EB59FD" w:rsidRDefault="00015E03" w:rsidP="008C534D">
            <w:pPr>
              <w:spacing w:before="120" w:after="120"/>
              <w:jc w:val="both"/>
              <w:rPr>
                <w:rFonts w:ascii="Calibri Light" w:hAnsi="Calibri Light" w:cs="Calibri Light"/>
                <w:color w:val="1F3A93"/>
              </w:rPr>
            </w:pP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063C235D" w14:textId="77777777" w:rsidR="00015E03" w:rsidRPr="00EB59FD" w:rsidRDefault="00015E03" w:rsidP="008C534D">
            <w:pPr>
              <w:spacing w:before="120" w:after="120"/>
              <w:jc w:val="both"/>
              <w:rPr>
                <w:rFonts w:ascii="Calibri Light" w:hAnsi="Calibri Light" w:cs="Calibri Light"/>
                <w:color w:val="1F3A93"/>
              </w:rPr>
            </w:pPr>
            <w:r>
              <w:rPr>
                <w:rFonts w:ascii="Calibri Light" w:hAnsi="Calibri Light" w:cs="Calibri Light"/>
                <w:b/>
                <w:bCs/>
                <w:color w:val="1F3A93"/>
              </w:rPr>
              <w:t>(c) GP Catch-Up</w:t>
            </w:r>
          </w:p>
          <w:p w14:paraId="4C254B46" w14:textId="77777777" w:rsidR="00015E03" w:rsidRPr="00EB59FD" w:rsidRDefault="00015E03" w:rsidP="008C534D">
            <w:pPr>
              <w:spacing w:before="120" w:after="120"/>
              <w:jc w:val="both"/>
              <w:rPr>
                <w:rFonts w:ascii="Calibri Light" w:hAnsi="Calibri Light" w:cs="Calibri Light"/>
                <w:color w:val="1F3A93"/>
              </w:rPr>
            </w:pPr>
            <w:r>
              <w:rPr>
                <w:rFonts w:ascii="Calibri Light" w:hAnsi="Calibri Light" w:cs="Calibri Light"/>
                <w:color w:val="1F3A93"/>
              </w:rPr>
              <w:t xml:space="preserve">Third, </w:t>
            </w:r>
            <w:r>
              <w:rPr>
                <w:rFonts w:ascii="Calibri Light" w:hAnsi="Calibri Light" w:cs="Calibri Light"/>
                <w:b/>
                <w:bCs/>
                <w:color w:val="1F3A93"/>
              </w:rPr>
              <w:t>[[XXX%]]</w:t>
            </w:r>
            <w:r>
              <w:rPr>
                <w:rFonts w:ascii="Calibri Light" w:hAnsi="Calibri Light" w:cs="Calibri Light"/>
                <w:color w:val="1F3A93"/>
              </w:rPr>
              <w:t xml:space="preserve"> to the Carried Interest Partner and </w:t>
            </w:r>
            <w:r>
              <w:rPr>
                <w:rFonts w:ascii="Calibri Light" w:hAnsi="Calibri Light" w:cs="Calibri Light"/>
                <w:b/>
                <w:bCs/>
                <w:color w:val="1F3A93"/>
              </w:rPr>
              <w:t>[[XXX%]] to the Limited Partners,</w:t>
            </w:r>
            <w:r>
              <w:rPr>
                <w:rFonts w:ascii="Calibri Light" w:hAnsi="Calibri Light" w:cs="Calibri Light"/>
                <w:color w:val="1F3A93"/>
              </w:rPr>
              <w:t xml:space="preserve"> until the Carried Interest Partner has received aggregate amounts equal to </w:t>
            </w:r>
            <w:r>
              <w:rPr>
                <w:rFonts w:ascii="Calibri Light" w:hAnsi="Calibri Light" w:cs="Calibri Light"/>
                <w:b/>
                <w:bCs/>
                <w:color w:val="1F3A93"/>
              </w:rPr>
              <w:t>[[X%]]</w:t>
            </w:r>
            <w:r>
              <w:rPr>
                <w:rFonts w:ascii="Calibri Light" w:hAnsi="Calibri Light" w:cs="Calibri Light"/>
                <w:color w:val="1F3A93"/>
              </w:rPr>
              <w:t xml:space="preserve"> of the sum of amounts distributed under (b) above and this (c) (the "</w:t>
            </w:r>
            <w:r>
              <w:rPr>
                <w:rFonts w:ascii="Calibri Light" w:hAnsi="Calibri Light" w:cs="Calibri Light"/>
                <w:b/>
                <w:bCs/>
                <w:color w:val="1F3A93"/>
              </w:rPr>
              <w:t>Catch-Up</w:t>
            </w:r>
            <w:r>
              <w:rPr>
                <w:rFonts w:ascii="Calibri Light" w:hAnsi="Calibri Light" w:cs="Calibri Light"/>
                <w:color w:val="1F3A93"/>
              </w:rPr>
              <w:t>").</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4DC5A7E0" w14:textId="77777777" w:rsidR="00015E03" w:rsidRPr="00EB59FD" w:rsidRDefault="00015E03"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The catch-up mechanism allows the Carried Interest Partner to receive its agreed share of total profits once the Limited Partners have received the Preferred Return. </w:t>
            </w:r>
          </w:p>
          <w:p w14:paraId="32C62859" w14:textId="77777777" w:rsidR="00015E03" w:rsidRPr="00EB59FD" w:rsidRDefault="00015E03"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The catch-up may be full (all distributions to the Carried Interest Partner until its agreed share is reached) or partial (distributions shared between the Carried Interest Partner and the Limited Partners in agreed proportions). The choice affects the timing of carried interest and is a negotiated point. </w:t>
            </w:r>
          </w:p>
          <w:p w14:paraId="7706AE5A" w14:textId="77777777" w:rsidR="00015E03" w:rsidRPr="00EB59FD" w:rsidRDefault="00015E03"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Confirm the catch-up percentage with the sponsor before committing to term sheet.</w:t>
            </w:r>
          </w:p>
        </w:tc>
      </w:tr>
      <w:tr w:rsidR="00015E03" w:rsidRPr="00FA1EC6" w14:paraId="0AFD47AE" w14:textId="77777777" w:rsidTr="479FEC54">
        <w:tc>
          <w:tcPr>
            <w:tcW w:w="1900" w:type="dxa"/>
            <w:vMerge/>
            <w:tcMar>
              <w:top w:w="80" w:type="dxa"/>
              <w:left w:w="120" w:type="dxa"/>
              <w:bottom w:w="80" w:type="dxa"/>
              <w:right w:w="120" w:type="dxa"/>
            </w:tcMar>
          </w:tcPr>
          <w:p w14:paraId="16DF73D2" w14:textId="77777777" w:rsidR="00015E03" w:rsidRPr="00EB59FD" w:rsidRDefault="00015E03" w:rsidP="008C534D">
            <w:pPr>
              <w:spacing w:before="120" w:after="120"/>
              <w:jc w:val="both"/>
              <w:rPr>
                <w:rFonts w:ascii="Calibri Light" w:hAnsi="Calibri Light" w:cs="Calibri Light"/>
                <w:color w:val="1F3A93"/>
              </w:rPr>
            </w:pP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156B09C5" w14:textId="77777777" w:rsidR="00015E03" w:rsidRPr="00EB59FD" w:rsidRDefault="00015E03" w:rsidP="008C534D">
            <w:pPr>
              <w:spacing w:before="120" w:after="120"/>
              <w:jc w:val="both"/>
              <w:rPr>
                <w:rFonts w:ascii="Calibri Light" w:hAnsi="Calibri Light" w:cs="Calibri Light"/>
                <w:color w:val="1F3A93"/>
              </w:rPr>
            </w:pPr>
            <w:r>
              <w:rPr>
                <w:rFonts w:ascii="Calibri Light" w:hAnsi="Calibri Light" w:cs="Calibri Light"/>
                <w:b/>
                <w:bCs/>
                <w:color w:val="1F3A93"/>
              </w:rPr>
              <w:t>(d) Thereafter</w:t>
            </w:r>
            <w:r>
              <w:rPr>
                <w:rFonts w:ascii="Calibri Light" w:hAnsi="Calibri Light" w:cs="Calibri Light"/>
                <w:color w:val="1F3A93"/>
              </w:rPr>
              <w:t xml:space="preserve"> </w:t>
            </w:r>
          </w:p>
          <w:p w14:paraId="4662932C" w14:textId="77777777" w:rsidR="00015E03" w:rsidRPr="00EB59FD" w:rsidRDefault="00015E03" w:rsidP="008C534D">
            <w:pPr>
              <w:spacing w:before="120" w:after="120"/>
              <w:jc w:val="both"/>
              <w:rPr>
                <w:rFonts w:ascii="Calibri Light" w:hAnsi="Calibri Light" w:cs="Calibri Light"/>
                <w:color w:val="1F3A93"/>
              </w:rPr>
            </w:pPr>
            <w:r>
              <w:rPr>
                <w:rFonts w:ascii="Calibri Light" w:hAnsi="Calibri Light" w:cs="Calibri Light"/>
                <w:color w:val="1F3A93"/>
              </w:rPr>
              <w:t xml:space="preserve"> </w:t>
            </w:r>
            <w:r>
              <w:rPr>
                <w:rFonts w:ascii="Calibri Light" w:hAnsi="Calibri Light" w:cs="Calibri Light"/>
                <w:b/>
                <w:bCs/>
                <w:color w:val="1F3A93"/>
              </w:rPr>
              <w:t>[[X%]]</w:t>
            </w:r>
            <w:r>
              <w:rPr>
                <w:rFonts w:ascii="Calibri Light" w:hAnsi="Calibri Light" w:cs="Calibri Light"/>
                <w:color w:val="1F3A93"/>
              </w:rPr>
              <w:t xml:space="preserve"> to the Limited Partners and </w:t>
            </w:r>
            <w:r>
              <w:rPr>
                <w:rFonts w:ascii="Calibri Light" w:hAnsi="Calibri Light" w:cs="Calibri Light"/>
                <w:b/>
                <w:bCs/>
                <w:color w:val="1F3A93"/>
              </w:rPr>
              <w:t>[[X%]]</w:t>
            </w:r>
            <w:r>
              <w:rPr>
                <w:rFonts w:ascii="Calibri Light" w:hAnsi="Calibri Light" w:cs="Calibri Light"/>
                <w:color w:val="1F3A93"/>
              </w:rPr>
              <w:t xml:space="preserve"> to the Carried Interest Partner (the "</w:t>
            </w:r>
            <w:r>
              <w:rPr>
                <w:rFonts w:ascii="Calibri Light" w:hAnsi="Calibri Light" w:cs="Calibri Light"/>
                <w:b/>
                <w:bCs/>
                <w:color w:val="1F3A93"/>
              </w:rPr>
              <w:t>Carried Interest</w:t>
            </w:r>
            <w:r>
              <w:rPr>
                <w:rFonts w:ascii="Calibri Light" w:hAnsi="Calibri Light" w:cs="Calibri Light"/>
                <w:color w:val="1F3A93"/>
              </w:rPr>
              <w:t>").</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4EB4D933" w14:textId="77777777" w:rsidR="00015E03" w:rsidRPr="00EB59FD" w:rsidRDefault="00015E03"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The carried interest rate is a core commercial term. Its level typically reflects the strategy and its expected return profile, the manager's track record and the investor base, and should be considered together with the Preferred Return, the catch-up and the distribution model (whole-of-fund or deal-by-deal). Some LPs negotiate carried interest rebates if they are themselves managing carry-paying funds of funds.</w:t>
            </w:r>
          </w:p>
        </w:tc>
      </w:tr>
      <w:tr w:rsidR="00E51EB2" w:rsidRPr="00FA1EC6" w14:paraId="666CF2E0"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31B3A2FF" w14:textId="77777777" w:rsidR="00E51EB2" w:rsidRPr="00EB59FD" w:rsidRDefault="00E51EB2" w:rsidP="008C534D">
            <w:pPr>
              <w:spacing w:before="120" w:after="120"/>
              <w:jc w:val="both"/>
              <w:rPr>
                <w:rFonts w:ascii="Calibri Light" w:hAnsi="Calibri Light" w:cs="Calibri Light"/>
                <w:color w:val="1F3A93"/>
              </w:rPr>
            </w:pPr>
            <w:r>
              <w:rPr>
                <w:rFonts w:ascii="Calibri Light" w:hAnsi="Calibri Light" w:cs="Calibri Light"/>
                <w:b/>
                <w:bCs/>
                <w:color w:val="1F3A93"/>
              </w:rPr>
              <w:t>Clawback</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5380E0BC" w14:textId="77777777" w:rsidR="00E51EB2" w:rsidRPr="00EB59FD" w:rsidRDefault="00E51EB2" w:rsidP="008C534D">
            <w:pPr>
              <w:spacing w:before="120" w:after="120"/>
              <w:jc w:val="both"/>
              <w:rPr>
                <w:rFonts w:ascii="Calibri Light" w:hAnsi="Calibri Light" w:cs="Calibri Light"/>
                <w:color w:val="1F3A93"/>
              </w:rPr>
            </w:pPr>
            <w:r>
              <w:rPr>
                <w:rFonts w:ascii="Calibri Light" w:hAnsi="Calibri Light" w:cs="Calibri Light"/>
                <w:color w:val="1F3A93"/>
              </w:rPr>
              <w:t xml:space="preserve">If, at the end of the Fund's life, the Carried Interest Partner has received Carried Interest in excess of </w:t>
            </w:r>
            <w:r>
              <w:rPr>
                <w:rFonts w:ascii="Calibri Light" w:hAnsi="Calibri Light" w:cs="Calibri Light"/>
                <w:b/>
                <w:bCs/>
                <w:color w:val="1F3A93"/>
              </w:rPr>
              <w:t>[[X%]]</w:t>
            </w:r>
            <w:r>
              <w:rPr>
                <w:rFonts w:ascii="Calibri Light" w:hAnsi="Calibri Light" w:cs="Calibri Light"/>
                <w:color w:val="1F3A93"/>
              </w:rPr>
              <w:t xml:space="preserve"> of the Fund's aggregate net profits (taking into account all investments), the excess shall be repaid to the Fund </w:t>
            </w:r>
            <w:r>
              <w:rPr>
                <w:rFonts w:ascii="Calibri Light" w:hAnsi="Calibri Light" w:cs="Calibri Light"/>
                <w:color w:val="1F3A93"/>
              </w:rPr>
              <w:t>(the "</w:t>
            </w:r>
            <w:r>
              <w:rPr>
                <w:rFonts w:ascii="Calibri Light" w:hAnsi="Calibri Light" w:cs="Calibri Light"/>
                <w:b/>
                <w:bCs/>
                <w:color w:val="1F3A93"/>
              </w:rPr>
              <w:t>Clawback</w:t>
            </w:r>
            <w:r>
              <w:rPr>
                <w:rFonts w:ascii="Calibri Light" w:hAnsi="Calibri Light" w:cs="Calibri Light"/>
                <w:color w:val="1F3A93"/>
              </w:rPr>
              <w:t xml:space="preserve">"). The Carried Interest Partner's Clawback obligation shall be guaranteed by </w:t>
            </w:r>
            <w:r>
              <w:rPr>
                <w:rFonts w:ascii="Calibri Light" w:hAnsi="Calibri Light" w:cs="Calibri Light"/>
                <w:b/>
                <w:bCs/>
                <w:color w:val="1F3A93"/>
              </w:rPr>
              <w:t>[[the General Partner / individual team members]]</w:t>
            </w:r>
            <w:r>
              <w:rPr>
                <w:rFonts w:ascii="Calibri Light" w:hAnsi="Calibri Light" w:cs="Calibri Light"/>
                <w:color w:val="1F3A93"/>
              </w:rPr>
              <w:t xml:space="preserve"> up to an amount equal to the after-tax Carried Interest received.</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123A6CCF" w14:textId="77777777" w:rsidR="00527A19" w:rsidRPr="00EB59FD" w:rsidRDefault="00E51EB2"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Clawback protects LPs against overpayment of carry where early gains are followed by later losses, reconciling carry against actual fund-level profits. The points that drive negotiation — whether the obligation is calculated after </w:t>
            </w:r>
            <w:r>
              <w:rPr>
                <w:rFonts w:ascii="Calibri Light" w:hAnsi="Calibri Light" w:cs="Calibri Light"/>
                <w:i/>
                <w:iCs/>
                <w:color w:val="1F3A93"/>
                <w:sz w:val="16"/>
                <w:szCs w:val="16"/>
              </w:rPr>
              <w:t>tax, the form of any security (guarantee or escrow) and whether interim as well as end-of-life testing applies — depend on the investor base and the strategy.</w:t>
            </w:r>
          </w:p>
        </w:tc>
      </w:tr>
      <w:tr w:rsidR="00B30D41" w:rsidRPr="00FA1EC6" w14:paraId="5B8B3191"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7CAE659F" w14:textId="77777777" w:rsidR="00B30D41" w:rsidRPr="00EB59FD" w:rsidRDefault="00B30D41" w:rsidP="008C534D">
            <w:pPr>
              <w:spacing w:before="120" w:after="120"/>
              <w:jc w:val="both"/>
              <w:rPr>
                <w:rFonts w:ascii="Calibri Light" w:hAnsi="Calibri Light" w:cs="Calibri Light"/>
                <w:b/>
                <w:bCs/>
                <w:color w:val="1F3A93"/>
              </w:rPr>
            </w:pPr>
            <w:r>
              <w:rPr>
                <w:rFonts w:ascii="Calibri Light" w:hAnsi="Calibri Light" w:cs="Calibri Light"/>
                <w:b/>
                <w:bCs/>
                <w:color w:val="1F3A93"/>
              </w:rPr>
              <w:t>Escrow / Guarantee Mechanism</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497D7454"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color w:val="1F3A93"/>
              </w:rPr>
              <w:t xml:space="preserve">To secure the Clawback obligation, </w:t>
            </w:r>
            <w:r>
              <w:rPr>
                <w:rFonts w:ascii="Calibri Light" w:hAnsi="Calibri Light" w:cs="Calibri Light"/>
                <w:b/>
                <w:bCs/>
                <w:color w:val="1F3A93"/>
              </w:rPr>
              <w:t>[[X% ]</w:t>
            </w:r>
            <w:r>
              <w:rPr>
                <w:rFonts w:ascii="Calibri Light" w:hAnsi="Calibri Light" w:cs="Calibri Light"/>
                <w:color w:val="1F3A93"/>
              </w:rPr>
              <w:t xml:space="preserve"> of all Carried Interest distributions (the “</w:t>
            </w:r>
            <w:r>
              <w:rPr>
                <w:rFonts w:ascii="Calibri Light" w:hAnsi="Calibri Light" w:cs="Calibri Light"/>
                <w:b/>
                <w:bCs/>
                <w:color w:val="1F3A93"/>
              </w:rPr>
              <w:t>Escrow Percentage</w:t>
            </w:r>
            <w:r>
              <w:rPr>
                <w:rFonts w:ascii="Calibri Light" w:hAnsi="Calibri Light" w:cs="Calibri Light"/>
                <w:color w:val="1F3A93"/>
              </w:rPr>
              <w:t>”) shall be deposited into an escrow account (the “</w:t>
            </w:r>
            <w:r>
              <w:rPr>
                <w:rFonts w:ascii="Calibri Light" w:hAnsi="Calibri Light" w:cs="Calibri Light"/>
                <w:b/>
                <w:bCs/>
                <w:color w:val="1F3A93"/>
              </w:rPr>
              <w:t>Escrow Account</w:t>
            </w:r>
            <w:r>
              <w:rPr>
                <w:rFonts w:ascii="Calibri Light" w:hAnsi="Calibri Light" w:cs="Calibri Light"/>
                <w:color w:val="1F3A93"/>
              </w:rPr>
              <w:t xml:space="preserve">”) held by </w:t>
            </w:r>
            <w:r>
              <w:rPr>
                <w:rFonts w:ascii="Calibri Light" w:hAnsi="Calibri Light" w:cs="Calibri Light"/>
                <w:b/>
                <w:bCs/>
                <w:color w:val="1F3A93"/>
              </w:rPr>
              <w:t>[[the Depositary / an independent escrow agent]]</w:t>
            </w:r>
            <w:r>
              <w:rPr>
                <w:rFonts w:ascii="Calibri Light" w:hAnsi="Calibri Light" w:cs="Calibri Light"/>
                <w:color w:val="1F3A93"/>
              </w:rPr>
              <w:t xml:space="preserve"> on behalf of the Fund. The Escrow Account shall be subject to a separate escrow agreement in form and substance satisfactory to the Advisory Committee.</w:t>
            </w:r>
          </w:p>
          <w:p w14:paraId="6CE4A62F"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 xml:space="preserve">Release of Escrow: </w:t>
            </w:r>
            <w:r>
              <w:rPr>
                <w:rFonts w:ascii="Calibri Light" w:hAnsi="Calibri Light" w:cs="Calibri Light"/>
                <w:color w:val="1F3A93"/>
              </w:rPr>
              <w:t xml:space="preserve">Amounts held in the Escrow Account shall be released as follows:(i) </w:t>
            </w:r>
            <w:r>
              <w:rPr>
                <w:rFonts w:ascii="Calibri Light" w:hAnsi="Calibri Light" w:cs="Calibri Light"/>
                <w:b/>
                <w:bCs/>
                <w:color w:val="1F3A93"/>
              </w:rPr>
              <w:t>[[X%]]</w:t>
            </w:r>
            <w:r>
              <w:rPr>
                <w:rFonts w:ascii="Calibri Light" w:hAnsi="Calibri Light" w:cs="Calibri Light"/>
                <w:color w:val="1F3A93"/>
              </w:rPr>
              <w:t xml:space="preserve"> of the Escrow Balance shall be released to the Carried Interest Partner on the date that is [[X months]] after the end of the Term (including any extensions), provided that all material liabilities of the Fund have been satisfied or adequately reserved for; and(ii) the remaining Escrow Balance shall be released to the Carried Interest Partner upon the earlier of: (a) the date on which the General Partner delivers to the Advisory Committee a certificate confirming that no further Clawback obligation exists; or (b) the date that is [[X months]] after the end of the Term.If a Clawback obligation arises, the General Partner shall first apply amounts in the Escrow Account to satisfy the obligation. To the extent the Escrow Balance is insufficient, the Carried Interest Partner shall pay the shortfall directly within </w:t>
            </w:r>
            <w:r>
              <w:rPr>
                <w:rFonts w:ascii="Calibri Light" w:hAnsi="Calibri Light" w:cs="Calibri Light"/>
                <w:b/>
                <w:bCs/>
                <w:color w:val="1F3A93"/>
              </w:rPr>
              <w:t>[[X]]</w:t>
            </w:r>
            <w:r>
              <w:rPr>
                <w:rFonts w:ascii="Calibri Light" w:hAnsi="Calibri Light" w:cs="Calibri Light"/>
                <w:color w:val="1F3A93"/>
              </w:rPr>
              <w:t xml:space="preserve"> days of demand by the General Partner.</w:t>
            </w:r>
          </w:p>
          <w:p w14:paraId="1AC859F4"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 xml:space="preserve">Guarantee Arrangements: </w:t>
            </w:r>
            <w:r>
              <w:rPr>
                <w:rFonts w:ascii="Calibri Light" w:hAnsi="Calibri Light" w:cs="Calibri Light"/>
                <w:color w:val="1F3A93"/>
              </w:rPr>
              <w:t xml:space="preserve">Each </w:t>
            </w:r>
            <w:r>
              <w:rPr>
                <w:rFonts w:ascii="Calibri Light" w:hAnsi="Calibri Light" w:cs="Calibri Light"/>
                <w:b/>
                <w:bCs/>
                <w:color w:val="1F3A93"/>
              </w:rPr>
              <w:t>[[individual team member / principal of the General Partner]]</w:t>
            </w:r>
            <w:r>
              <w:rPr>
                <w:rFonts w:ascii="Calibri Light" w:hAnsi="Calibri Light" w:cs="Calibri Light"/>
                <w:color w:val="1F3A93"/>
              </w:rPr>
              <w:t xml:space="preserve"> who has received a distribution of Carried Interest (whether directly or through a personal holding vehicle) shall guarantee the Clawback obligation up to an amount equal to the lesser of: (i) the after-tax amount of Carried Interest received by such individual; or (ii) such individual’s pro rata share of the aggregate Clawback obligation. The guarantee shall be several (not joint and several) unless otherwise agreed.</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132FA94E" w14:textId="77777777" w:rsidR="00B30D41"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Escrow Mechanics:</w:t>
            </w:r>
            <w:r>
              <w:rPr>
                <w:rFonts w:ascii="Calibri Light" w:hAnsi="Calibri Light" w:cs="Calibri Light"/>
                <w:i/>
                <w:iCs/>
                <w:color w:val="1F3A93"/>
                <w:sz w:val="16"/>
                <w:szCs w:val="16"/>
              </w:rPr>
              <w:t xml:space="preserve"> Holding part of carried interest distributions in escrow supports the clawback obligation. The proportion escrowed, the identity of the escrow agent and the release mechanics are negotiated and should be sized against the expected wind-down profile and the strength of any individual guarantees.</w:t>
            </w:r>
          </w:p>
          <w:p w14:paraId="267EC9A3" w14:textId="77777777" w:rsidR="00B30D41"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Release Triggers:</w:t>
            </w:r>
            <w:r>
              <w:rPr>
                <w:rFonts w:ascii="Calibri Light" w:hAnsi="Calibri Light" w:cs="Calibri Light"/>
                <w:i/>
                <w:iCs/>
                <w:color w:val="1F3A93"/>
                <w:sz w:val="16"/>
                <w:szCs w:val="16"/>
              </w:rPr>
              <w:t xml:space="preserve"> A phased release balances LP protection with GP liquidity needs. The release dates and proportions should be linked to objective events, such as the approval of the audited accounts, the end of the Term or the delivery of a clawback certificate. Some LPAs provide for earlier release if a clawback certificate is delivered confirming no further obligation. The release mechanics should be aligned with the Fund’s expected wind-down timeline and the finalisation of audited accounts.</w:t>
            </w:r>
          </w:p>
          <w:p w14:paraId="690A43CF" w14:textId="77777777" w:rsidR="00B30D41"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Guarantee Arrangements:</w:t>
            </w:r>
            <w:r>
              <w:rPr>
                <w:rFonts w:ascii="Calibri Light" w:hAnsi="Calibri Light" w:cs="Calibri Light"/>
                <w:i/>
                <w:iCs/>
                <w:color w:val="1F3A93"/>
                <w:sz w:val="16"/>
                <w:szCs w:val="16"/>
              </w:rPr>
              <w:t xml:space="preserve"> Individual guarantees from carry recipients and an escrow may be used as alternative or cumulative security for the clawback. The scope of any guarantee — and how it interacts with the escrow — is a point to settle with anchor investors.</w:t>
            </w:r>
          </w:p>
          <w:p w14:paraId="49D854FC" w14:textId="77777777" w:rsidR="00B30D41"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After-Tax Basis:</w:t>
            </w:r>
            <w:r>
              <w:rPr>
                <w:rFonts w:ascii="Calibri Light" w:hAnsi="Calibri Light" w:cs="Calibri Light"/>
                <w:i/>
                <w:iCs/>
                <w:color w:val="1F3A93"/>
                <w:sz w:val="16"/>
                <w:szCs w:val="16"/>
              </w:rPr>
              <w:t xml:space="preserve"> Specify whether the clawback obligation is calculated on an after-tax basis. Specify whether any ‘tax gross-up’ (returning gross amounts) applies.</w:t>
            </w:r>
          </w:p>
          <w:p w14:paraId="0B4119E6" w14:textId="77777777" w:rsidR="00B30D41"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Interim Clawback:</w:t>
            </w:r>
            <w:r>
              <w:rPr>
                <w:rFonts w:ascii="Calibri Light" w:hAnsi="Calibri Light" w:cs="Calibri Light"/>
                <w:i/>
                <w:iCs/>
                <w:color w:val="1F3A93"/>
                <w:sz w:val="16"/>
                <w:szCs w:val="16"/>
              </w:rPr>
              <w:t xml:space="preserve"> An interim clawback test (e.g., annually or on each distribution) may be provided in addition to the end-of-life clawback. If included, specify the timing and mechanics clearly.</w:t>
            </w:r>
          </w:p>
        </w:tc>
      </w:tr>
      <w:tr w:rsidR="00B30D41" w:rsidRPr="00FA1EC6" w14:paraId="29846F04"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05F97D8B"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Investment Advisor Fee</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4F51E642"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[[Not applicable / to be confirmed]]</w:t>
            </w:r>
            <w:r>
              <w:rPr>
                <w:rFonts w:ascii="Calibri Light" w:hAnsi="Calibri Light" w:cs="Calibri Light"/>
                <w:color w:val="1F3A93"/>
              </w:rPr>
              <w:t xml:space="preserve">. </w:t>
            </w:r>
            <w:r>
              <w:rPr>
                <w:rFonts w:ascii="Calibri Light" w:hAnsi="Calibri Light" w:cs="Calibri Light"/>
                <w:b/>
                <w:bCs/>
                <w:color w:val="1F3A93"/>
              </w:rPr>
              <w:t>[[If applicable: ]</w:t>
            </w:r>
            <w:r>
              <w:rPr>
                <w:rFonts w:ascii="Calibri Light" w:hAnsi="Calibri Light" w:cs="Calibri Light"/>
                <w:color w:val="1F3A93"/>
              </w:rPr>
              <w:t xml:space="preserve">The Investment Advisor will receive an advisory fee of </w:t>
            </w:r>
            <w:r>
              <w:rPr>
                <w:rFonts w:ascii="Calibri Light" w:hAnsi="Calibri Light" w:cs="Calibri Light"/>
                <w:b/>
                <w:bCs/>
                <w:color w:val="1F3A93"/>
              </w:rPr>
              <w:t>[[X%]]</w:t>
            </w:r>
            <w:r>
              <w:rPr>
                <w:rFonts w:ascii="Calibri Light" w:hAnsi="Calibri Light" w:cs="Calibri Light"/>
                <w:color w:val="1F3A93"/>
              </w:rPr>
              <w:t xml:space="preserve"> per annum of </w:t>
            </w:r>
            <w:r>
              <w:rPr>
                <w:rFonts w:ascii="Calibri Light" w:hAnsi="Calibri Light" w:cs="Calibri Light"/>
                <w:b/>
                <w:bCs/>
                <w:color w:val="1F3A93"/>
              </w:rPr>
              <w:t>[[AUM / committed capital]]</w:t>
            </w:r>
            <w:r>
              <w:rPr>
                <w:rFonts w:ascii="Calibri Light" w:hAnsi="Calibri Light" w:cs="Calibri Light"/>
                <w:color w:val="1F3A93"/>
              </w:rPr>
              <w:t>, payable from the Management Fee (and not in addition thereto).]</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13FB44A0"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Where an external adviser or sub-adviser is appointed, specify whether its fee is met from the management fee or charged to the Fund. The regulatory treatment of the appointment, including any CSSF notification, should be confirmed with the AIFM.</w:t>
            </w:r>
          </w:p>
        </w:tc>
      </w:tr>
      <w:tr w:rsidR="00B30D41" w:rsidRPr="00FA1EC6" w14:paraId="19F5EB38" w14:textId="77777777" w:rsidTr="479FEC54">
        <w:tc>
          <w:tcPr>
            <w:tcW w:w="0" w:type="auto"/>
            <w:gridSpan w:val="3"/>
            <w:tcBorders>
              <w:top w:val="single" w:sz="6" w:space="0" w:color="0D2240"/>
              <w:left w:val="single" w:sz="6" w:space="0" w:color="0D2240"/>
              <w:bottom w:val="single" w:sz="6" w:space="0" w:color="0D2240"/>
              <w:right w:val="single" w:sz="6" w:space="0" w:color="0D2240"/>
            </w:tcBorders>
            <w:shd w:val="clear" w:color="auto" w:fill="1F3A93"/>
            <w:tcMar>
              <w:top w:w="100" w:type="dxa"/>
              <w:left w:w="180" w:type="dxa"/>
              <w:bottom w:w="100" w:type="dxa"/>
              <w:right w:w="180" w:type="dxa"/>
            </w:tcMar>
          </w:tcPr>
          <w:p w14:paraId="58A3AB77" w14:textId="77777777" w:rsidR="00B30D41" w:rsidRPr="00EB59FD" w:rsidRDefault="00B30D41" w:rsidP="008C534D">
            <w:pPr>
              <w:spacing w:before="120" w:after="120"/>
              <w:jc w:val="both"/>
              <w:rPr>
                <w:rFonts w:ascii="Calibri Light" w:hAnsi="Calibri Light" w:cs="Calibri Light"/>
                <w:color w:val="FFFFFF" w:themeColor="background1"/>
              </w:rPr>
            </w:pPr>
            <w:r>
              <w:rPr>
                <w:rFonts w:ascii="Calibri Light" w:hAnsi="Calibri Light" w:cs="Calibri Light"/>
                <w:b/>
                <w:bCs/>
                <w:color w:val="FFFFFF" w:themeColor="background1"/>
                <w:sz w:val="20"/>
                <w:szCs w:val="20"/>
              </w:rPr>
              <w:t>VII.   SERVICE PROVIDERS (other than AIFM)</w:t>
            </w:r>
          </w:p>
        </w:tc>
      </w:tr>
      <w:tr w:rsidR="00B30D41" w:rsidRPr="00FA1EC6" w14:paraId="1EC625B0"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0A4D87E8"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Depositary</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5B638A79"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[RAIF / SIF with authorised AIFM</w:t>
            </w:r>
            <w:r>
              <w:rPr>
                <w:rFonts w:ascii="Calibri Light" w:hAnsi="Calibri Light" w:cs="Calibri Light"/>
                <w:i/>
                <w:iCs/>
                <w:color w:val="1F3A93"/>
              </w:rPr>
              <w:t>]:</w:t>
            </w:r>
            <w:r>
              <w:rPr>
                <w:rFonts w:ascii="Calibri Light" w:hAnsi="Calibri Light" w:cs="Calibri Light"/>
                <w:color w:val="1F3A93"/>
              </w:rPr>
              <w:t xml:space="preserve"> </w:t>
            </w:r>
            <w:r>
              <w:rPr>
                <w:rFonts w:ascii="Calibri Light" w:hAnsi="Calibri Light" w:cs="Calibri Light"/>
                <w:b/>
                <w:bCs/>
                <w:color w:val="1F3A93"/>
              </w:rPr>
              <w:t>[[DepositaryName]]</w:t>
            </w:r>
            <w:r>
              <w:rPr>
                <w:rFonts w:ascii="Calibri Light" w:hAnsi="Calibri Light" w:cs="Calibri Light"/>
                <w:color w:val="1F3A93"/>
              </w:rPr>
              <w:t xml:space="preserve">, a credit institution </w:t>
            </w:r>
            <w:r>
              <w:rPr>
                <w:rFonts w:ascii="Calibri Light" w:hAnsi="Calibri Light" w:cs="Calibri Light"/>
                <w:color w:val="1F3A93"/>
              </w:rPr>
              <w:t xml:space="preserve">or investment firm within the meaning of the Law of 5 April 1993 on the financial sector, authorised to provide depositary services to alternative investment funds pursuant to Article 19 of the AIFM Law and Article 5(3) of the RAIF</w:t>
            </w:r>
            <w:r>
              <w:rPr>
                <w:rFonts w:ascii="Calibri Light" w:hAnsi="Calibri Light" w:cs="Calibri Light"/>
                <w:color w:val="1F3A93"/>
              </w:rPr>
              <w:t xml:space="preserve"> Law.</w:t>
            </w:r>
          </w:p>
          <w:p w14:paraId="14C430D5" w14:textId="77777777" w:rsidR="00632F4B" w:rsidRDefault="00FF0C49">
            <w:pPr>
              <w:spacing w:before="120" w:after="120"/>
              <w:jc w:val="both"/>
              <w:rPr>
                <w:rFonts w:ascii="Calibri Light" w:hAnsi="Calibri Light" w:cs="Calibri Light"/>
                <w:color w:val="1F3A93"/>
              </w:rPr>
            </w:pPr>
            <w:r>
              <w:rPr>
                <w:rFonts w:ascii="Calibri Light" w:hAnsi="Calibri Light" w:cs="Calibri Light"/>
                <w:color w:val="1F3A93"/>
              </w:rPr>
              <w:t xml:space="preserve">[SIF below AIFMD threshold]: [[DepositaryName]], appointed as depositary pursuant to [Article 16 / Article 33 / Articles 33 and 40(2)] of the SIF Law, the choice of </w:t>
            </w:r>
            <w:r>
              <w:rPr>
                <w:rFonts w:ascii="Calibri Light" w:hAnsi="Calibri Light" w:cs="Calibri Light"/>
                <w:color w:val="1F3A93"/>
              </w:rPr>
              <w:t>which is subject to approval by the CSSF (Article 42(2) of the SIF Law).</w:t>
            </w:r>
          </w:p>
          <w:p w14:paraId="45920BEF"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color w:val="1F3A93"/>
              </w:rPr>
              <w:t>[</w:t>
            </w:r>
            <w:r>
              <w:rPr>
                <w:rFonts w:ascii="Calibri Light" w:hAnsi="Calibri Light" w:cs="Calibri Light"/>
                <w:b/>
                <w:bCs/>
                <w:color w:val="1F3A93"/>
              </w:rPr>
              <w:t>unregulated SCS/SCSp</w:t>
            </w:r>
            <w:r>
              <w:rPr>
                <w:rFonts w:ascii="Calibri Light" w:hAnsi="Calibri Light" w:cs="Calibri Light"/>
                <w:i/>
                <w:iCs/>
                <w:color w:val="1F3A93"/>
              </w:rPr>
              <w:t xml:space="preserve"> (sub-threshold)]:</w:t>
            </w:r>
            <w:r>
              <w:rPr>
                <w:rFonts w:ascii="Calibri Light" w:hAnsi="Calibri Light" w:cs="Calibri Light"/>
                <w:color w:val="1F3A93"/>
              </w:rPr>
              <w:t xml:space="preserve"> [Not required under Luxembourg law. The General Partner performs asset oversight functions directly / [[CustodianName]] appointed as voluntary custodian on contractual terms — delete as applicable.]</w:t>
            </w:r>
          </w:p>
          <w:p w14:paraId="0EE09E47" w14:textId="77777777" w:rsidR="00B30D41" w:rsidRPr="00EB59FD" w:rsidRDefault="00B30D41" w:rsidP="008C534D">
            <w:pPr>
              <w:spacing w:before="120" w:after="120"/>
              <w:jc w:val="both"/>
              <w:rPr>
                <w:rFonts w:ascii="Calibri Light" w:hAnsi="Calibri Light" w:cs="Calibri Light"/>
                <w:color w:val="1F3A93"/>
              </w:rPr>
            </w:pP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5A24C416" w14:textId="77777777" w:rsidR="00B30D41"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RAIF: depositary is mandatory under Article 19 of the AIFM Law. Functions include safe-keeping of financial instruments (strict liability for loss), cash flow oversight, ownership verification of other assets, and compliance monitoring. Under Article 5(3) of the RAIF Law the depositary must be a credit institution or an investment firm within the meaning of the Law </w:t>
            </w:r>
            <w:r>
              <w:rPr>
                <w:rFonts w:ascii="Calibri Light" w:hAnsi="Calibri Light" w:cs="Calibri Light"/>
                <w:i/>
                <w:iCs/>
                <w:color w:val="1F3A93"/>
                <w:sz w:val="16"/>
                <w:szCs w:val="16"/>
              </w:rPr>
              <w:t>of 5 April 1993 on the financial sector, with its registered office in Luxembourg or a Luxembourg branch. For closed-ended funds with no redemption rights exercisable for five years from initial investment which do not generally hold assets requiring custody, the depositary may also be a professional depositary of assets other than financial instruments within the meaning of Article 26-1 of the Law of 5 April 1993. Depositary onboarding includes AML/KYC on the Fund, GP, and AIFM — to be factored into the launch timetable.</w:t>
            </w:r>
          </w:p>
          <w:p w14:paraId="4F8365F8" w14:textId="77777777" w:rsidR="00B30D41"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SIF with authorised AIFM: same mandatory depositary requirement as for RAIFs under Article 19 of the AIFM Law.</w:t>
            </w:r>
          </w:p>
          <w:p w14:paraId="7EEBBD19" w14:textId="77777777" w:rsidR="00B30D41"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SIF below AIFMD threshold: the AIFM Law depositary regime does not apply, but the SIF Law imposes its own depositary requirement independently of the AIFM Law. The custody of the assets of a SIF must be entrusted to a depositary under Article 16 (common funds), Article 33 (SICAVs) and Article 40(2) (other SIFs) of the SIF Law, and the choice of depositary is approved by the CSSF as part of the authorisation (Article 42(2)). A depositary is therefore always required for a SIF.</w:t>
            </w:r>
          </w:p>
          <w:p w14:paraId="34C25867"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Unregulated SCS/SCSp: no statutory depositary requirement. Voluntary custodian arrangements may be negotiated with specific investors via side letter. Confirm whether any investor requires this as a condition of commitment.</w:t>
            </w:r>
          </w:p>
        </w:tc>
      </w:tr>
      <w:tr w:rsidR="00B30D41" w:rsidRPr="00FA1EC6" w14:paraId="767B8BCA"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32A0823E" w14:textId="77777777" w:rsidR="00B30D41" w:rsidRPr="00EB59FD" w:rsidRDefault="00B30D41" w:rsidP="00B30D41">
            <w:pPr>
              <w:spacing w:before="120" w:after="120"/>
              <w:rPr>
                <w:rFonts w:ascii="Calibri Light" w:hAnsi="Calibri Light" w:cs="Calibri Light"/>
                <w:color w:val="1F3A93"/>
              </w:rPr>
            </w:pPr>
            <w:r>
              <w:rPr>
                <w:rFonts w:ascii="Calibri Light" w:hAnsi="Calibri Light" w:cs="Calibri Light"/>
                <w:b/>
                <w:bCs/>
                <w:color w:val="1F3A93"/>
              </w:rPr>
              <w:t>Administration Agent</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52B14BEE" w14:textId="77777777" w:rsidR="00B30D41" w:rsidRPr="00EB59FD" w:rsidRDefault="00B30D41" w:rsidP="00B30D41">
            <w:pPr>
              <w:spacing w:before="120" w:after="120"/>
              <w:rPr>
                <w:rFonts w:ascii="Calibri Light" w:hAnsi="Calibri Light" w:cs="Calibri Light"/>
                <w:color w:val="1F3A93"/>
              </w:rPr>
            </w:pPr>
            <w:r>
              <w:rPr>
                <w:rFonts w:ascii="Calibri Light" w:hAnsi="Calibri Light" w:cs="Calibri Light"/>
                <w:b/>
                <w:bCs/>
                <w:color w:val="1F3A93"/>
              </w:rPr>
              <w:t>[[AdministrationAgentName]]</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76BAC745" w14:textId="77777777" w:rsidR="00B30D41" w:rsidRPr="00EB59FD" w:rsidRDefault="00B30D41" w:rsidP="00B30D41">
            <w:pPr>
              <w:spacing w:before="120" w:after="120"/>
              <w:rPr>
                <w:rFonts w:ascii="Calibri Light" w:hAnsi="Calibri Light" w:cs="Calibri Light"/>
                <w:color w:val="1F3A93"/>
              </w:rPr>
            </w:pPr>
            <w:r>
              <w:rPr>
                <w:rFonts w:ascii="Calibri Light" w:hAnsi="Calibri Light" w:cs="Calibri Light"/>
                <w:i/>
                <w:iCs/>
                <w:color w:val="1F3A93"/>
                <w:sz w:val="16"/>
                <w:szCs w:val="16"/>
              </w:rPr>
              <w:t xml:space="preserve">The administration agent handles NAV calculation, investor register, financial reporting, capital call processing, and regulatory filings. For PE/RE funds, the administrator also manages call/distribution notices and capital account statements. Confirm that the administrator has experience with the chosen fund structure and can support the commitment model. </w:t>
            </w:r>
          </w:p>
        </w:tc>
      </w:tr>
      <w:tr w:rsidR="00B30D41" w:rsidRPr="00FA1EC6" w14:paraId="29C6C34C"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7CAEA99C" w14:textId="77777777" w:rsidR="00B30D41" w:rsidRPr="00EB59FD" w:rsidRDefault="00B30D41" w:rsidP="00B30D41">
            <w:pPr>
              <w:spacing w:before="120" w:after="120"/>
              <w:rPr>
                <w:rFonts w:ascii="Calibri Light" w:hAnsi="Calibri Light" w:cs="Calibri Light"/>
                <w:color w:val="1F3A93"/>
              </w:rPr>
            </w:pPr>
            <w:r>
              <w:rPr>
                <w:rFonts w:ascii="Calibri Light" w:hAnsi="Calibri Light" w:cs="Calibri Light"/>
                <w:b/>
                <w:bCs/>
                <w:color w:val="1F3A93"/>
              </w:rPr>
              <w:t>Auditor</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53ADAECC" w14:textId="77777777" w:rsidR="00B30D41" w:rsidRPr="00EB59FD" w:rsidRDefault="00B30D41" w:rsidP="00B30D41">
            <w:pPr>
              <w:spacing w:before="120" w:after="120"/>
              <w:rPr>
                <w:rFonts w:ascii="Calibri Light" w:hAnsi="Calibri Light" w:cs="Calibri Light"/>
                <w:color w:val="1F3A93"/>
              </w:rPr>
            </w:pPr>
            <w:r>
              <w:rPr>
                <w:rFonts w:ascii="Calibri Light" w:hAnsi="Calibri Light" w:cs="Calibri Light"/>
                <w:b/>
                <w:bCs/>
                <w:color w:val="1F3A93"/>
              </w:rPr>
              <w:t>[[AuditorName]]</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49179BF4" w14:textId="77777777" w:rsidR="00B30D41" w:rsidRPr="00EB59FD" w:rsidRDefault="00B30D41" w:rsidP="00B30D41">
            <w:pPr>
              <w:spacing w:before="120" w:after="120"/>
              <w:rPr>
                <w:rFonts w:ascii="Calibri Light" w:hAnsi="Calibri Light" w:cs="Calibri Light"/>
                <w:color w:val="1F3A93"/>
              </w:rPr>
            </w:pPr>
            <w:r>
              <w:rPr>
                <w:rFonts w:ascii="Calibri Light" w:hAnsi="Calibri Light" w:cs="Calibri Light"/>
                <w:i/>
                <w:iCs/>
                <w:color w:val="1F3A93"/>
                <w:sz w:val="16"/>
                <w:szCs w:val="16"/>
              </w:rPr>
              <w:t>The Fund's auditor must be a Luxembourg-approved statutory auditor (réviseur d'entreprises agréé, or REA). Annual financial statements must be audited for RAIFs and AIFs. The annual report must be made available to investors within six months of the end of the financial year to which it relates (Article 38(2) of the RAIF Law). Auditors of AIFs are also required to report to the CSSF on certain matters under the AIFM Law.</w:t>
            </w:r>
          </w:p>
        </w:tc>
      </w:tr>
      <w:tr w:rsidR="00B30D41" w:rsidRPr="00FA1EC6" w14:paraId="09606E75"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493F046A" w14:textId="77777777" w:rsidR="00B30D41" w:rsidRPr="00EB59FD" w:rsidRDefault="00B30D41" w:rsidP="00B30D41">
            <w:pPr>
              <w:spacing w:before="120" w:after="120"/>
              <w:rPr>
                <w:rFonts w:ascii="Calibri Light" w:hAnsi="Calibri Light" w:cs="Calibri Light"/>
                <w:color w:val="1F3A93"/>
              </w:rPr>
            </w:pPr>
            <w:r>
              <w:rPr>
                <w:rFonts w:ascii="Calibri Light" w:hAnsi="Calibri Light" w:cs="Calibri Light"/>
                <w:b/>
                <w:bCs/>
                <w:color w:val="1F3A93"/>
              </w:rPr>
              <w:t>Legal Counsel</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11992D21" w14:textId="77777777" w:rsidR="00B30D41" w:rsidRPr="00EB59FD" w:rsidRDefault="00B30D41" w:rsidP="00B30D41">
            <w:pPr>
              <w:spacing w:before="120" w:after="120"/>
              <w:rPr>
                <w:rFonts w:ascii="Calibri Light" w:hAnsi="Calibri Light" w:cs="Calibri Light"/>
                <w:color w:val="1F3A93"/>
              </w:rPr>
            </w:pPr>
            <w:r>
              <w:rPr>
                <w:rFonts w:ascii="Calibri Light" w:hAnsi="Calibri Light" w:cs="Calibri Light"/>
                <w:b/>
                <w:bCs/>
                <w:color w:val="1F3A93"/>
              </w:rPr>
              <w:t>[[LuxembourgCounselName]]</w:t>
            </w:r>
            <w:r>
              <w:rPr>
                <w:rFonts w:ascii="Calibri Light" w:hAnsi="Calibri Light" w:cs="Calibri Light"/>
                <w:color w:val="1F3A93"/>
              </w:rPr>
              <w:t xml:space="preserve"> — Luxembourg law. </w:t>
            </w:r>
            <w:r>
              <w:rPr>
                <w:rFonts w:ascii="Calibri Light" w:hAnsi="Calibri Light" w:cs="Calibri Light"/>
                <w:b/>
                <w:bCs/>
                <w:color w:val="1F3A93"/>
              </w:rPr>
              <w:t>[[OtherCounselName]]</w:t>
            </w:r>
            <w:r>
              <w:rPr>
                <w:rFonts w:ascii="Calibri Light" w:hAnsi="Calibri Light" w:cs="Calibri Light"/>
                <w:color w:val="1F3A93"/>
              </w:rPr>
              <w:t xml:space="preserve"> — </w:t>
            </w:r>
            <w:r>
              <w:rPr>
                <w:rFonts w:ascii="Calibri Light" w:hAnsi="Calibri Light" w:cs="Calibri Light"/>
                <w:b/>
                <w:bCs/>
                <w:color w:val="1F3A93"/>
              </w:rPr>
              <w:t>[[OtherCounselJurisdiction]]</w:t>
            </w:r>
            <w:r>
              <w:rPr>
                <w:rFonts w:ascii="Calibri Light" w:hAnsi="Calibri Light" w:cs="Calibri Light"/>
                <w:color w:val="1F3A93"/>
              </w:rPr>
              <w:t xml:space="preserve"> law (if applicable).</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3C64FD91" w14:textId="77777777" w:rsidR="00B30D41" w:rsidRPr="00EB59FD" w:rsidRDefault="00B30D41" w:rsidP="00B30D41">
            <w:pPr>
              <w:spacing w:before="120" w:after="120"/>
              <w:rPr>
                <w:rFonts w:ascii="Calibri Light" w:hAnsi="Calibri Light" w:cs="Calibri Light"/>
                <w:color w:val="1F3A93"/>
              </w:rPr>
            </w:pPr>
            <w:r>
              <w:rPr>
                <w:rFonts w:ascii="Calibri Light" w:hAnsi="Calibri Light" w:cs="Calibri Light"/>
                <w:i/>
                <w:iCs/>
                <w:color w:val="1F3A93"/>
                <w:sz w:val="16"/>
                <w:szCs w:val="16"/>
              </w:rPr>
              <w:t xml:space="preserve">Confirm the law firms instructed for each relevant jurisdiction: Luxembourg (fund documentation, corporate law, regulatory); home jurisdiction of GP or sponsors; target jurisdiction(s) (for real estate or portfolio company transactions). On the term sheet, identify the legal counsel as a reference point for counterparties. Ensure conflicts of interest are cleared — the fund counsel typically </w:t>
            </w:r>
            <w:r>
              <w:rPr>
                <w:rFonts w:ascii="Calibri Light" w:hAnsi="Calibri Light" w:cs="Calibri Light"/>
                <w:i/>
                <w:iCs/>
                <w:color w:val="1F3A93"/>
                <w:sz w:val="16"/>
                <w:szCs w:val="16"/>
              </w:rPr>
              <w:t>represents the GP/fund and cannot simultaneously advise LPs.</w:t>
            </w:r>
          </w:p>
        </w:tc>
      </w:tr>
      <w:tr w:rsidR="00B30D41" w:rsidRPr="00FA1EC6" w14:paraId="38D1CA4C"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537A3C9E"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AML/CFT Officer (RC)</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1374697F"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[[RCNameAndTitle]]</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73FFD66B"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The RC (responsable du contrôle) is the designated AML/CFT compliance officer of the Fund, appointed at the level of the AIFM or, for an unregulated SCS/SCSp (sub-threshold), of the General Partner. The RC oversees day-to-day AML/KYC procedures and reports to the RR. The requirement to appoint an RR and an RC derives from Article 4(1) of the Law of 12 November 2004 and Articles 40 to 43 of CSSF Regulation No 12-02, not from Circular CSSF 18/698. The CSSF does not require the RC to be permanently present in Luxembourg: its FAQ on persons involved in AML/CFT requires the RC to have sufficient AML/CFT knowledge of Luxembourg law, to be knowledgeable about the Fund, to be available without delay on request of the Luxembourg AML/CFT authorities and to have access to all internal documents and systems - the last condition being expressly framed for the case where the RC is not present in Luxembourg on an ongoing basis. The RC is typically a senior employee of the AIFM (or, for an unregulated SCS/SCSp, of the General Partner) or of the administration agent.</w:t>
            </w:r>
          </w:p>
        </w:tc>
      </w:tr>
      <w:tr w:rsidR="00B30D41" w:rsidRPr="00FA1EC6" w14:paraId="422D477B"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634A9029"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AML/CFT Responsible Person (RR)</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3E896AD5"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color w:val="1F3A93"/>
              </w:rPr>
              <w:t>The board of managers of the General Partner acting as RR (</w:t>
            </w:r>
            <w:r>
              <w:rPr>
                <w:rFonts w:ascii="Calibri Light" w:hAnsi="Calibri Light" w:cs="Calibri Light"/>
                <w:i/>
                <w:iCs/>
                <w:color w:val="1F3A93"/>
              </w:rPr>
              <w:t>Responsable du Respect</w:t>
            </w:r>
            <w:r>
              <w:rPr>
                <w:rFonts w:ascii="Calibri Light" w:hAnsi="Calibri Light" w:cs="Calibri Light"/>
                <w:color w:val="1F3A93"/>
              </w:rPr>
              <w:t xml:space="preserve"> — senior responsible person for AML/CFT compliance).</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38D44379"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The RR (responsable du respect) is the board-level AML/CFT responsible person. For an SCS/SCSp RAIF, the RR is typically the board of managers of the GP. The RR has ultimate responsibility for the Fund's AML/CFT framework. Both the RC and the RR are personally accountable and must be notified to the competent AML/CFT supervisor: the CSSF for a SIF, and the Administration de l'enregistrement, des domaines et de la TVA (AED) for a RAIF or an unregulated SCS/SCSp (RR/RC identification form).</w:t>
            </w:r>
          </w:p>
        </w:tc>
      </w:tr>
      <w:tr w:rsidR="00B30D41" w:rsidRPr="00FA1EC6" w14:paraId="7836B58D" w14:textId="77777777" w:rsidTr="479FEC54">
        <w:tc>
          <w:tcPr>
            <w:tcW w:w="0" w:type="auto"/>
            <w:gridSpan w:val="3"/>
            <w:tcBorders>
              <w:top w:val="single" w:sz="6" w:space="0" w:color="0D2240"/>
              <w:left w:val="single" w:sz="6" w:space="0" w:color="0D2240"/>
              <w:bottom w:val="single" w:sz="6" w:space="0" w:color="0D2240"/>
              <w:right w:val="single" w:sz="6" w:space="0" w:color="0D2240"/>
            </w:tcBorders>
            <w:shd w:val="clear" w:color="auto" w:fill="1F3A93"/>
            <w:tcMar>
              <w:top w:w="100" w:type="dxa"/>
              <w:left w:w="180" w:type="dxa"/>
              <w:bottom w:w="100" w:type="dxa"/>
              <w:right w:w="180" w:type="dxa"/>
            </w:tcMar>
          </w:tcPr>
          <w:p w14:paraId="5E1C214F"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FFFFFF" w:themeColor="background1"/>
                <w:sz w:val="20"/>
                <w:szCs w:val="20"/>
              </w:rPr>
              <w:t>VIII.   GENERAL TERMS</w:t>
            </w:r>
          </w:p>
        </w:tc>
      </w:tr>
      <w:tr w:rsidR="00B30D41" w:rsidRPr="00FA1EC6" w14:paraId="5E8AF0BC"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65DFEAF7"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Fund Currency</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5A45F29A"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color w:val="1F3A93"/>
              </w:rPr>
              <w:t xml:space="preserve">Euro (EUR). </w:t>
            </w:r>
            <w:r>
              <w:rPr>
                <w:rFonts w:ascii="Calibri Light" w:hAnsi="Calibri Light" w:cs="Calibri Light"/>
                <w:b/>
                <w:bCs/>
                <w:color w:val="1F3A93"/>
              </w:rPr>
              <w:t>[Additional classes of limited partner interests in other currencies may be established at the General Partner's discretion (e.g., USD, GBP hedged classes).]</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4878D4DD"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The base currency should be specified clearly. Where the Fund invests in assets denominated in currencies other than EUR, the LPA should address foreign exchange risk and whether currency hedging is permitted at Fund or investor class level. Hedged classes of interests carry additional complexity and cost — confirm with the administration agent.</w:t>
            </w:r>
          </w:p>
        </w:tc>
      </w:tr>
      <w:tr w:rsidR="00B30D41" w:rsidRPr="00FA1EC6" w14:paraId="5FBD24BC"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13423CF5"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Accounting Standards</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6F29429E" w14:textId="77777777" w:rsidR="00B30D41" w:rsidRPr="00850150" w:rsidRDefault="00B30D41" w:rsidP="008C534D">
            <w:pPr>
              <w:spacing w:before="120" w:after="120"/>
              <w:jc w:val="both"/>
              <w:rPr>
                <w:rFonts w:ascii="Calibri Light" w:hAnsi="Calibri Light" w:cs="Calibri Light"/>
                <w:color w:val="1F3A93"/>
                <w:lang w:val="de-DE"/>
              </w:rPr>
            </w:pPr>
            <w:r>
              <w:rPr>
                <w:rFonts w:ascii="Calibri Light" w:hAnsi="Calibri Light" w:cs="Calibri Light"/>
                <w:b/>
                <w:bCs/>
                <w:color w:val="1F3A93"/>
                <w:lang w:val="de-DE"/>
              </w:rPr>
              <w:t>[[Luxembourg GAAP (Lux GAAP) / IFRS]]</w:t>
            </w:r>
            <w:r>
              <w:rPr>
                <w:rFonts w:ascii="Calibri Light" w:hAnsi="Calibri Light" w:cs="Calibri Light"/>
                <w:color w:val="1F3A93"/>
                <w:lang w:val="de-DE"/>
              </w:rPr>
              <w:t>.</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1CED8968"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Luxembourg GAAP or IFRS may be used; the choice should take into account investor reporting requirements. The decision involves a trade-off between cost and transparency and affects valuation, carried interest recognition and presentation, and is best settled with the auditor and against the target investor base.</w:t>
            </w:r>
          </w:p>
        </w:tc>
      </w:tr>
      <w:tr w:rsidR="00B30D41" w:rsidRPr="00FA1EC6" w14:paraId="2EE3D9AE"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763724D9"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Valuation</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3C8D8FE5"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color w:val="1F3A93"/>
              </w:rPr>
              <w:t xml:space="preserve">The net asset value of the Fund and each Compartment shall be calculated </w:t>
            </w:r>
            <w:r>
              <w:rPr>
                <w:rFonts w:ascii="Calibri Light" w:hAnsi="Calibri Light" w:cs="Calibri Light"/>
                <w:b/>
                <w:bCs/>
                <w:color w:val="1F3A93"/>
              </w:rPr>
              <w:t>[[quarterly / semi-annually]]</w:t>
            </w:r>
            <w:r>
              <w:rPr>
                <w:rFonts w:ascii="Calibri Light" w:hAnsi="Calibri Light" w:cs="Calibri Light"/>
                <w:color w:val="1F3A93"/>
              </w:rPr>
              <w:t xml:space="preserve"> by the Administration Agent in accordance with the valuation </w:t>
            </w:r>
            <w:r>
              <w:rPr>
                <w:rFonts w:ascii="Calibri Light" w:hAnsi="Calibri Light" w:cs="Calibri Light"/>
                <w:color w:val="1F3A93"/>
              </w:rPr>
              <w:t xml:space="preserve">policy adopted by the AIFM</w:t>
            </w:r>
            <w:r>
              <w:rPr>
                <w:rFonts w:ascii="Calibri Light" w:hAnsi="Calibri Light" w:cs="Calibri Light"/>
                <w:color w:val="1F3A93"/>
              </w:rPr>
              <w:t xml:space="preserve"> (or, for a SIF below the AIFMD thresholds managed by a registered manager, by the registered manager)</w:t>
            </w:r>
            <w:r>
              <w:rPr>
                <w:rFonts w:ascii="Calibri Light" w:hAnsi="Calibri Light" w:cs="Calibri Light"/>
                <w:color w:val="1F3A93"/>
              </w:rPr>
              <w:t xml:space="preserve">. Illiquid assets shall be valued in accordance with </w:t>
            </w:r>
            <w:r>
              <w:rPr>
                <w:rFonts w:ascii="Calibri Light" w:hAnsi="Calibri Light" w:cs="Calibri Light"/>
                <w:b/>
                <w:bCs/>
                <w:color w:val="1F3A93"/>
              </w:rPr>
              <w:t>[[IPEV Guidelines / INREV NAV guidelines / other relevant methodology]]</w:t>
            </w:r>
            <w:r>
              <w:rPr>
                <w:rFonts w:ascii="Calibri Light" w:hAnsi="Calibri Light" w:cs="Calibri Light"/>
                <w:color w:val="1F3A93"/>
              </w:rPr>
              <w:t>.</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1DD60FCC" w14:textId="77777777" w:rsidR="00B30D41"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Valuation is a critical governance matter. For illiquid assets (PE, RE, private credit), fair value must be determined in accordance with a </w:t>
            </w:r>
            <w:r>
              <w:rPr>
                <w:rFonts w:ascii="Calibri Light" w:hAnsi="Calibri Light" w:cs="Calibri Light"/>
                <w:i/>
                <w:iCs/>
                <w:color w:val="1F3A93"/>
                <w:sz w:val="16"/>
                <w:szCs w:val="16"/>
              </w:rPr>
              <w:t>documented methodology approved by the AIFM's independent risk management function. IPEV (International Private Equity and Venture Capital Valuation Guidelines) is the PE standard; INREV NAV guidelines apply to real estate. The AIFM must ensure valuation independence from portfolio management. CSSF has indicated scrutiny of valuation processes — ensure proper documentation.</w:t>
            </w:r>
          </w:p>
          <w:p w14:paraId="3828C327" w14:textId="77777777" w:rsidR="00B30D41"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 xml:space="preserve">Article 1</w:t>
            </w:r>
            <w:r>
              <w:rPr>
                <w:rFonts w:ascii="Calibri Light" w:hAnsi="Calibri Light" w:cs="Calibri Light"/>
                <w:b/>
                <w:bCs/>
                <w:i/>
                <w:iCs/>
                <w:color w:val="1F3A93"/>
                <w:sz w:val="16"/>
                <w:szCs w:val="16"/>
              </w:rPr>
              <w:t xml:space="preserve">7 AIFM Law (transposing Article 19 AIFMD)</w:t>
            </w:r>
            <w:r>
              <w:rPr>
                <w:rFonts w:ascii="Calibri Light" w:hAnsi="Calibri Light" w:cs="Calibri Light"/>
                <w:b/>
                <w:bCs/>
                <w:i/>
                <w:iCs/>
                <w:color w:val="1F3A93"/>
                <w:sz w:val="16"/>
                <w:szCs w:val="16"/>
              </w:rPr>
              <w:t xml:space="preserve">:</w:t>
            </w:r>
            <w:r>
              <w:rPr>
                <w:rFonts w:ascii="Calibri Light" w:hAnsi="Calibri Light" w:cs="Calibri Light"/>
                <w:i/>
                <w:iCs/>
                <w:color w:val="1F3A93"/>
                <w:sz w:val="16"/>
                <w:szCs w:val="16"/>
              </w:rPr>
              <w:t xml:space="preserve"> Article 17 of the AIFM Law (transposing Article 19 of AIFMD) requires that the valuation function be performed either by an external valuer or internally by the AIFM with functional independence from portfolio management. The CSSF has indicated that valuation independence is a supervisory priority and has queried AIFMs on their arrangements.</w:t>
            </w:r>
          </w:p>
          <w:p w14:paraId="0ED371EF" w14:textId="77777777" w:rsidR="00B30D41"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External Valuer:</w:t>
            </w:r>
            <w:r>
              <w:rPr>
                <w:rFonts w:ascii="Calibri Light" w:hAnsi="Calibri Light" w:cs="Calibri Light"/>
                <w:i/>
                <w:iCs/>
                <w:color w:val="1F3A93"/>
                <w:sz w:val="16"/>
                <w:szCs w:val="16"/>
              </w:rPr>
              <w:t xml:space="preserve"> Where an external valuer is appointed, the valuer must be independent of the Fund, the GP, the AIFM, and related parties. The valuer must be subject to mandatory professional registration or regulation (e.g., RICS for real estate, CFA Institute, or equivalent). The AIFM remains liable to the Fund and investors for the proper performance of the valuation function, even where delegated to an external valuer.</w:t>
            </w:r>
          </w:p>
          <w:p w14:paraId="60C68B3B" w14:textId="77777777" w:rsidR="00B30D41"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Internal Valuation:</w:t>
            </w:r>
            <w:r>
              <w:rPr>
                <w:rFonts w:ascii="Calibri Light" w:hAnsi="Calibri Light" w:cs="Calibri Light"/>
                <w:i/>
                <w:iCs/>
                <w:color w:val="1F3A93"/>
                <w:sz w:val="16"/>
                <w:szCs w:val="16"/>
              </w:rPr>
              <w:t xml:space="preserve"> Where the AIFM performs valuation internally, the functional independence requirement is paramount. The persons carrying out valuation must not report to or be supervised by the portfolio management team. Remuneration must not be linked to fund performance or investment outcomes. The AIFM must be able to demonstrate these safeguards to the CSSF upon request.</w:t>
            </w:r>
          </w:p>
          <w:p w14:paraId="3BD8331F" w14:textId="77777777" w:rsidR="00B30D41"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CSSF Focus:</w:t>
            </w:r>
            <w:r>
              <w:rPr>
                <w:rFonts w:ascii="Calibri Light" w:hAnsi="Calibri Light" w:cs="Calibri Light"/>
                <w:i/>
                <w:iCs/>
                <w:color w:val="1F3A93"/>
                <w:sz w:val="16"/>
                <w:szCs w:val="16"/>
              </w:rPr>
              <w:t xml:space="preserve"> The CSSF has issued guidance emphasising the importance of robust valuation processes for AIFs investing in illiquid assets. Common supervisory findings include: (i) inadequate documentation of valuation methodology; (ii) insufficient independence of valuation personnel; (iii) lack of formal escalation procedures where valuation disputes arise. Ensure the AIFM’s valuation policy is comprehensive and regularly reviewed.</w:t>
            </w:r>
          </w:p>
          <w:p w14:paraId="702DFA2F"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i/>
                <w:iCs/>
                <w:color w:val="1F3A93"/>
                <w:sz w:val="16"/>
                <w:szCs w:val="16"/>
              </w:rPr>
              <w:t>Disclosure:</w:t>
            </w:r>
            <w:r>
              <w:rPr>
                <w:rFonts w:ascii="Calibri Light" w:hAnsi="Calibri Light" w:cs="Calibri Light"/>
                <w:i/>
                <w:iCs/>
                <w:color w:val="1F3A93"/>
                <w:sz w:val="16"/>
                <w:szCs w:val="16"/>
              </w:rPr>
              <w:t xml:space="preserve"> The valuation policy and procedures must be summarised in the PPM and made available to investors. Investors are entitled to request additional information on the valuation methodology upon reasonable request.</w:t>
            </w:r>
          </w:p>
        </w:tc>
      </w:tr>
      <w:tr w:rsidR="00B30D41" w:rsidRPr="00FA1EC6" w14:paraId="4FED34E5"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7622C4BF" w14:textId="77777777" w:rsidR="00B30D41" w:rsidRPr="00EB59FD" w:rsidRDefault="00B30D41" w:rsidP="008C534D">
            <w:pPr>
              <w:spacing w:before="120" w:after="120"/>
              <w:jc w:val="both"/>
              <w:rPr>
                <w:rFonts w:ascii="Calibri Light" w:hAnsi="Calibri Light" w:cs="Calibri Light"/>
                <w:b/>
                <w:bCs/>
                <w:color w:val="1F3A93"/>
              </w:rPr>
            </w:pPr>
            <w:r>
              <w:rPr>
                <w:rFonts w:ascii="Calibri Light" w:hAnsi="Calibri Light" w:cs="Calibri Light"/>
                <w:b/>
                <w:bCs/>
                <w:color w:val="1F3A93"/>
              </w:rPr>
              <w:t>Financial Year</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2EE2B9BD" w14:textId="77777777" w:rsidR="00B30D41" w:rsidRPr="00EB59FD" w:rsidRDefault="00B30D41" w:rsidP="008C534D">
            <w:pPr>
              <w:spacing w:before="120" w:after="120"/>
              <w:jc w:val="both"/>
              <w:rPr>
                <w:rFonts w:ascii="Calibri Light" w:hAnsi="Calibri Light" w:cs="Calibri Light"/>
                <w:b/>
                <w:bCs/>
                <w:color w:val="1F3A93"/>
              </w:rPr>
            </w:pPr>
            <w:r>
              <w:rPr>
                <w:rFonts w:ascii="Calibri Light" w:hAnsi="Calibri Light" w:cs="Calibri Light"/>
                <w:b/>
                <w:bCs/>
                <w:color w:val="1F3A93"/>
              </w:rPr>
              <w:t>[[1 January – 31 December]]. [The first financial year begins on the date of constitution of the Fund and ends on 31 December [[FirstFinancialYearEnd]].]</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4AFC664B" w14:textId="77777777" w:rsidR="00B30D41"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Single source for the financial year (it is deliberately not repeated in the Accounting Standards row). The first financial year is usually a short or long year running from the constitution of the Fund to the first year-end; adapt or delete the bracketed sentence.</w:t>
            </w:r>
          </w:p>
        </w:tc>
      </w:tr>
      <w:tr w:rsidR="00B30D41" w:rsidRPr="00FA1EC6" w14:paraId="695606A2"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5A131360"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Fund Documents</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28DB3014" w14:textId="77777777" w:rsidR="003E428A" w:rsidRDefault="00FF0C49">
            <w:pPr>
              <w:spacing w:before="120" w:after="120"/>
              <w:jc w:val="both"/>
              <w:rPr>
                <w:rFonts w:ascii="Calibri Light" w:hAnsi="Calibri Light" w:cs="Calibri Light"/>
                <w:color w:val="1F3A93"/>
              </w:rPr>
            </w:pPr>
            <w:r>
              <w:rPr>
                <w:rFonts w:ascii="Calibri Light" w:hAnsi="Calibri Light" w:cs="Calibri Light"/>
                <w:b/>
                <w:bCs/>
                <w:color w:val="1F3A93"/>
              </w:rPr>
              <w:t xml:space="preserve">[Unregulated SCS/SCSp (sub-threshold)]: </w:t>
            </w:r>
            <w:r>
              <w:rPr>
                <w:rFonts w:ascii="Calibri Light" w:hAnsi="Calibri Light" w:cs="Calibri Light"/>
                <w:color w:val="1F3A93"/>
              </w:rPr>
              <w:t xml:space="preserve">The Fund Documents consist of: </w:t>
            </w:r>
          </w:p>
          <w:p w14:paraId="7BD03FCF" w14:textId="77777777" w:rsidR="003E428A" w:rsidRDefault="00FF0C49">
            <w:pPr>
              <w:pStyle w:val="ListParagraph"/>
              <w:numPr>
                <w:ilvl w:val="0"/>
                <w:numId w:val="5"/>
              </w:numPr>
              <w:spacing w:before="120" w:after="120"/>
              <w:ind w:left="384" w:hanging="384"/>
              <w:jc w:val="both"/>
              <w:rPr>
                <w:rFonts w:ascii="Calibri Light" w:hAnsi="Calibri Light" w:cs="Calibri Light"/>
                <w:color w:val="1F3A93"/>
              </w:rPr>
            </w:pPr>
            <w:r>
              <w:rPr>
                <w:rFonts w:ascii="Calibri Light" w:hAnsi="Calibri Light" w:cs="Calibri Light"/>
                <w:color w:val="1F3A93"/>
              </w:rPr>
              <w:t>the limited partnership agreement (“</w:t>
            </w:r>
            <w:r>
              <w:rPr>
                <w:rFonts w:ascii="Calibri Light" w:hAnsi="Calibri Light" w:cs="Calibri Light"/>
                <w:b/>
                <w:bCs/>
                <w:color w:val="1F3A93"/>
              </w:rPr>
              <w:t>LPA</w:t>
            </w:r>
            <w:r>
              <w:rPr>
                <w:rFonts w:ascii="Calibri Light" w:hAnsi="Calibri Light" w:cs="Calibri Light"/>
                <w:color w:val="1F3A93"/>
              </w:rPr>
              <w:t>”); and</w:t>
            </w:r>
          </w:p>
          <w:p w14:paraId="7F2CF283" w14:textId="77777777" w:rsidR="003E428A" w:rsidRDefault="00FF0C49">
            <w:pPr>
              <w:pStyle w:val="ListParagraph"/>
              <w:numPr>
                <w:ilvl w:val="0"/>
                <w:numId w:val="5"/>
              </w:numPr>
              <w:spacing w:before="120" w:after="120"/>
              <w:ind w:left="384" w:hanging="384"/>
              <w:jc w:val="both"/>
              <w:rPr>
                <w:rFonts w:ascii="Calibri Light" w:hAnsi="Calibri Light" w:cs="Calibri Light"/>
                <w:color w:val="1F3A93"/>
              </w:rPr>
            </w:pPr>
            <w:r>
              <w:rPr>
                <w:rFonts w:ascii="Calibri Light" w:hAnsi="Calibri Light" w:cs="Calibri Light"/>
                <w:color w:val="1F3A93"/>
              </w:rPr>
              <w:lastRenderedPageBreak/>
              <w:t>each Subscription Agreement.</w:t>
            </w:r>
          </w:p>
          <w:p w14:paraId="7A6097C7" w14:textId="77777777" w:rsidR="003E428A" w:rsidRDefault="00FF0C49">
            <w:pPr>
              <w:spacing w:before="120" w:after="120"/>
              <w:jc w:val="both"/>
              <w:rPr>
                <w:rFonts w:ascii="Calibri Light" w:hAnsi="Calibri Light" w:cs="Calibri Light"/>
                <w:color w:val="1F3A93"/>
              </w:rPr>
            </w:pPr>
            <w:r>
              <w:rPr>
                <w:rFonts w:ascii="Calibri Light" w:hAnsi="Calibri Light" w:cs="Calibri Light"/>
                <w:color w:val="1F3A93"/>
              </w:rPr>
              <w:t xml:space="preserve">No PPM or offering document is required for an unregulated SCS/SCSp. Any information memorandum issued on a voluntary basis does not form part of the Fund Documents</w:t>
            </w:r>
            <w:r>
              <w:rPr>
                <w:rFonts w:ascii="Calibri Light" w:hAnsi="Calibri Light" w:cs="Calibri Light"/>
                <w:color w:val="1F3A93"/>
              </w:rPr>
              <w:t xml:space="preserve"> as defined in this Term Sheet</w:t>
            </w:r>
            <w:r>
              <w:rPr>
                <w:rFonts w:ascii="Calibri Light" w:hAnsi="Calibri Light" w:cs="Calibri Light"/>
                <w:color w:val="1F3A93"/>
              </w:rPr>
              <w:t xml:space="preserve">. Each Investor agrees to be bound by the LPA by executing a Subscription Agreement and making a Commitment.</w:t>
            </w:r>
          </w:p>
          <w:p w14:paraId="66ABA7CC" w14:textId="77777777" w:rsidR="00B913DF" w:rsidRPr="00EB59FD" w:rsidRDefault="00B913DF" w:rsidP="008C534D">
            <w:pPr>
              <w:spacing w:before="120" w:after="120"/>
              <w:jc w:val="both"/>
              <w:rPr>
                <w:rFonts w:ascii="Calibri Light" w:hAnsi="Calibri Light" w:cs="Calibri Light"/>
                <w:color w:val="1F3A93"/>
              </w:rPr>
            </w:pPr>
            <w:r>
              <w:rPr>
                <w:rFonts w:ascii="Calibri Light" w:hAnsi="Calibri Light" w:cs="Calibri Light"/>
                <w:b/>
                <w:bCs/>
                <w:color w:val="1F3A93"/>
              </w:rPr>
              <w:t xml:space="preserve">[SCS/SCSp SICAV-RAIF or RAIF]: </w:t>
            </w:r>
            <w:r>
              <w:rPr>
                <w:rFonts w:ascii="Calibri Light" w:hAnsi="Calibri Light" w:cs="Calibri Light"/>
                <w:color w:val="1F3A93"/>
              </w:rPr>
              <w:t xml:space="preserve">The Fund Documents consist of: </w:t>
            </w:r>
          </w:p>
          <w:p w14:paraId="62513CB6" w14:textId="77777777" w:rsidR="00B913DF" w:rsidRPr="00EB59FD" w:rsidRDefault="00B913DF">
            <w:pPr>
              <w:pStyle w:val="ListParagraph"/>
              <w:numPr>
                <w:ilvl w:val="0"/>
                <w:numId w:val="7"/>
              </w:numPr>
              <w:spacing w:before="120" w:after="120"/>
              <w:ind w:left="384" w:hanging="384"/>
              <w:jc w:val="both"/>
              <w:rPr>
                <w:rFonts w:ascii="Calibri Light" w:hAnsi="Calibri Light" w:cs="Calibri Light"/>
                <w:color w:val="1F3A93"/>
              </w:rPr>
            </w:pPr>
            <w:r>
              <w:rPr>
                <w:rFonts w:ascii="Calibri Light" w:hAnsi="Calibri Light" w:cs="Calibri Light"/>
                <w:color w:val="1F3A93"/>
              </w:rPr>
              <w:t>the limited partnership agreement (“</w:t>
            </w:r>
            <w:r>
              <w:rPr>
                <w:rFonts w:ascii="Calibri Light" w:hAnsi="Calibri Light" w:cs="Calibri Light"/>
                <w:b/>
                <w:bCs/>
                <w:color w:val="1F3A93"/>
              </w:rPr>
              <w:t>LPA</w:t>
            </w:r>
            <w:r>
              <w:rPr>
                <w:rFonts w:ascii="Calibri Light" w:hAnsi="Calibri Light" w:cs="Calibri Light"/>
                <w:color w:val="1F3A93"/>
              </w:rPr>
              <w:t>”);</w:t>
            </w:r>
          </w:p>
          <w:p w14:paraId="6192F8C4" w14:textId="77777777" w:rsidR="00B913DF" w:rsidRPr="00EB59FD" w:rsidRDefault="00B913DF">
            <w:pPr>
              <w:pStyle w:val="ListParagraph"/>
              <w:numPr>
                <w:ilvl w:val="0"/>
                <w:numId w:val="7"/>
              </w:numPr>
              <w:spacing w:before="120" w:after="120"/>
              <w:ind w:left="384" w:hanging="384"/>
              <w:jc w:val="both"/>
              <w:rPr>
                <w:rFonts w:ascii="Calibri Light" w:hAnsi="Calibri Light" w:cs="Calibri Light"/>
                <w:color w:val="1F3A93"/>
              </w:rPr>
            </w:pPr>
            <w:r>
              <w:rPr>
                <w:rFonts w:ascii="Calibri Light" w:hAnsi="Calibri Light" w:cs="Calibri Light"/>
                <w:color w:val="1F3A93"/>
              </w:rPr>
              <w:t>the private placement memorandum (“</w:t>
            </w:r>
            <w:r>
              <w:rPr>
                <w:rFonts w:ascii="Calibri Light" w:hAnsi="Calibri Light" w:cs="Calibri Light"/>
                <w:b/>
                <w:bCs/>
                <w:color w:val="1F3A93"/>
              </w:rPr>
              <w:t>PPM</w:t>
            </w:r>
            <w:r>
              <w:rPr>
                <w:rFonts w:ascii="Calibri Light" w:hAnsi="Calibri Light" w:cs="Calibri Light"/>
                <w:color w:val="1F3A93"/>
              </w:rPr>
              <w:t>”), which is mandatory under Article 38(1) of the RAIF Law and must carry on its cover page the clearly visible statement required by Article 39 of the RAIF Law that the Fund is not subject to supervision by a Luxembourg supervisory authority; and</w:t>
            </w:r>
          </w:p>
          <w:p w14:paraId="5E5E718F" w14:textId="77777777" w:rsidR="003E428A" w:rsidRDefault="00FF0C49">
            <w:pPr>
              <w:pStyle w:val="ListParagraph"/>
              <w:numPr>
                <w:ilvl w:val="0"/>
                <w:numId w:val="7"/>
              </w:numPr>
              <w:spacing w:before="120" w:after="120"/>
              <w:ind w:left="384" w:hanging="384"/>
              <w:jc w:val="both"/>
              <w:rPr>
                <w:rFonts w:ascii="Calibri Light" w:hAnsi="Calibri Light" w:cs="Calibri Light"/>
                <w:color w:val="1F3A93"/>
              </w:rPr>
            </w:pPr>
            <w:r>
              <w:rPr>
                <w:rFonts w:ascii="Calibri Light" w:hAnsi="Calibri Light" w:cs="Calibri Light"/>
                <w:color w:val="1F3A93"/>
              </w:rPr>
              <w:t>each Subscription Agreement.</w:t>
            </w:r>
          </w:p>
          <w:p w14:paraId="68376C8A" w14:textId="77777777" w:rsidR="00B913DF" w:rsidRPr="00EB59FD" w:rsidRDefault="00B913DF" w:rsidP="008C534D">
            <w:pPr>
              <w:spacing w:before="120" w:after="120"/>
              <w:jc w:val="both"/>
              <w:rPr>
                <w:rFonts w:ascii="Calibri Light" w:hAnsi="Calibri Light" w:cs="Calibri Light"/>
                <w:color w:val="1F3A93"/>
              </w:rPr>
            </w:pPr>
            <w:r>
              <w:rPr>
                <w:rFonts w:ascii="Calibri Light" w:hAnsi="Calibri Light" w:cs="Calibri Light"/>
                <w:color w:val="1F3A93"/>
              </w:rPr>
              <w:t>Each Investor agrees to be bound by the LPA by executing a Subscription Agreement and making a Commitment.</w:t>
            </w:r>
          </w:p>
          <w:p w14:paraId="314BD20F" w14:textId="77777777" w:rsidR="00B913DF" w:rsidRPr="00EB59FD" w:rsidRDefault="00B913DF" w:rsidP="008C534D">
            <w:pPr>
              <w:spacing w:before="120" w:after="120"/>
              <w:jc w:val="both"/>
              <w:rPr>
                <w:rFonts w:ascii="Calibri Light" w:hAnsi="Calibri Light" w:cs="Calibri Light"/>
                <w:color w:val="1F3A93"/>
              </w:rPr>
            </w:pPr>
            <w:r>
              <w:rPr>
                <w:rFonts w:ascii="Calibri Light" w:hAnsi="Calibri Light" w:cs="Calibri Light"/>
                <w:b/>
                <w:bCs/>
                <w:color w:val="1F3A93"/>
              </w:rPr>
              <w:t>[SCS/SCSp SICAV-SIF or SIF]:</w:t>
            </w:r>
            <w:r>
              <w:rPr>
                <w:rFonts w:ascii="Calibri Light" w:hAnsi="Calibri Light" w:cs="Calibri Light"/>
                <w:color w:val="1F3A93"/>
              </w:rPr>
              <w:t xml:space="preserve"> The Fund Documents consist of: </w:t>
            </w:r>
          </w:p>
          <w:p w14:paraId="44C660D1" w14:textId="77777777" w:rsidR="00B913DF" w:rsidRPr="00EB59FD" w:rsidRDefault="00B913DF">
            <w:pPr>
              <w:pStyle w:val="ListParagraph"/>
              <w:numPr>
                <w:ilvl w:val="0"/>
                <w:numId w:val="8"/>
              </w:numPr>
              <w:spacing w:before="120" w:after="120"/>
              <w:ind w:left="384" w:hanging="384"/>
              <w:jc w:val="both"/>
              <w:rPr>
                <w:rFonts w:ascii="Calibri Light" w:hAnsi="Calibri Light" w:cs="Calibri Light"/>
                <w:color w:val="1F3A93"/>
              </w:rPr>
            </w:pPr>
            <w:r>
              <w:rPr>
                <w:rFonts w:ascii="Calibri Light" w:hAnsi="Calibri Light" w:cs="Calibri Light"/>
                <w:color w:val="1F3A93"/>
              </w:rPr>
              <w:t>the limited partnership agreement (“</w:t>
            </w:r>
            <w:r>
              <w:rPr>
                <w:rFonts w:ascii="Calibri Light" w:hAnsi="Calibri Light" w:cs="Calibri Light"/>
                <w:b/>
                <w:bCs/>
                <w:color w:val="1F3A93"/>
              </w:rPr>
              <w:t>LPA</w:t>
            </w:r>
            <w:r>
              <w:rPr>
                <w:rFonts w:ascii="Calibri Light" w:hAnsi="Calibri Light" w:cs="Calibri Light"/>
                <w:color w:val="1F3A93"/>
              </w:rPr>
              <w:t>”);</w:t>
            </w:r>
          </w:p>
          <w:p w14:paraId="097D03D3" w14:textId="77777777" w:rsidR="00B913DF" w:rsidRPr="00EB59FD" w:rsidRDefault="00B913DF">
            <w:pPr>
              <w:pStyle w:val="ListParagraph"/>
              <w:numPr>
                <w:ilvl w:val="0"/>
                <w:numId w:val="8"/>
              </w:numPr>
              <w:spacing w:before="120" w:after="120"/>
              <w:ind w:left="384" w:hanging="384"/>
              <w:jc w:val="both"/>
              <w:rPr>
                <w:rFonts w:ascii="Calibri Light" w:hAnsi="Calibri Light" w:cs="Calibri Light"/>
                <w:color w:val="1F3A93"/>
              </w:rPr>
            </w:pPr>
            <w:r>
              <w:rPr>
                <w:rFonts w:ascii="Calibri Light" w:hAnsi="Calibri Light" w:cs="Calibri Light"/>
                <w:color w:val="1F3A93"/>
              </w:rPr>
              <w:t>the offering document, as approved by the CSSF; and</w:t>
            </w:r>
          </w:p>
          <w:p w14:paraId="1C087D96" w14:textId="77777777" w:rsidR="003E428A" w:rsidRDefault="00FF0C49">
            <w:pPr>
              <w:pStyle w:val="ListParagraph"/>
              <w:numPr>
                <w:ilvl w:val="0"/>
                <w:numId w:val="8"/>
              </w:numPr>
              <w:spacing w:before="120" w:after="120"/>
              <w:ind w:left="384" w:hanging="384"/>
              <w:jc w:val="both"/>
              <w:rPr>
                <w:rFonts w:ascii="Calibri Light" w:hAnsi="Calibri Light" w:cs="Calibri Light"/>
                <w:color w:val="1F3A93"/>
              </w:rPr>
            </w:pPr>
            <w:r>
              <w:rPr>
                <w:rFonts w:ascii="Calibri Light" w:hAnsi="Calibri Light" w:cs="Calibri Light"/>
                <w:color w:val="1F3A93"/>
              </w:rPr>
              <w:t>each Subscription Agreement.</w:t>
            </w:r>
          </w:p>
          <w:p w14:paraId="0CC6A55C" w14:textId="77777777" w:rsidR="00B913DF" w:rsidRPr="00EB59FD" w:rsidRDefault="00B913DF" w:rsidP="008C534D">
            <w:pPr>
              <w:spacing w:before="120" w:after="120"/>
              <w:jc w:val="both"/>
              <w:rPr>
                <w:rFonts w:ascii="Calibri Light" w:hAnsi="Calibri Light" w:cs="Calibri Light"/>
                <w:color w:val="1F3A93"/>
              </w:rPr>
            </w:pPr>
            <w:r>
              <w:rPr>
                <w:rFonts w:ascii="Calibri Light" w:hAnsi="Calibri Light" w:cs="Calibri Light"/>
                <w:color w:val="1F3A93"/>
              </w:rPr>
              <w:t>Each Investor agrees to be bound by the LPA by executing a Subscription Agreement and making a Commitment.</w:t>
            </w:r>
          </w:p>
          <w:p w14:paraId="0CC6A55C" w14:textId="77777777" w:rsidR="00B913DF" w:rsidRPr="00EB59FD" w:rsidRDefault="00B913DF" w:rsidP="008C534D">
            <w:pPr>
              <w:spacing w:before="120" w:after="120"/>
              <w:jc w:val="both"/>
              <w:rPr>
                <w:rFonts w:ascii="Calibri Light" w:hAnsi="Calibri Light" w:cs="Calibri Light"/>
                <w:color w:val="1F3A93"/>
              </w:rPr>
            </w:pPr>
            <w:r>
              <w:rPr>
                <w:rFonts w:ascii="Calibri Light" w:hAnsi="Calibri Light" w:cs="Calibri Light"/>
                <w:color w:val="1F3A93"/>
              </w:rPr>
              <w:t xml:space="preserve">Any amendment to the essential elements of the offering document is subject to prior CSSF approval (Article 54 of the SIF Law). The General Partner shall notify the CSSF of any proposed material changes before implementation.</w:t>
            </w:r>
          </w:p>
          <w:p w14:paraId="3BC260F0" w14:textId="77777777" w:rsidR="00B30D41" w:rsidRPr="00EB59FD" w:rsidRDefault="00B30D41" w:rsidP="008C534D">
            <w:pPr>
              <w:spacing w:before="120" w:after="120"/>
              <w:jc w:val="both"/>
              <w:rPr>
                <w:rFonts w:ascii="Calibri Light" w:hAnsi="Calibri Light" w:cs="Calibri Light"/>
                <w:color w:val="1F3A93"/>
              </w:rPr>
            </w:pP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2B0D989A" w14:textId="77777777" w:rsidR="00203CE3"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 xml:space="preserve">For RAIFs, the governing document is the LPA. The PPM is a marketing and disclosure document and can be combined with or incorporated by reference into the LPA. There is no CSSF approval requirement for the RAIF's </w:t>
            </w:r>
            <w:r>
              <w:rPr>
                <w:rFonts w:ascii="Calibri Light" w:hAnsi="Calibri Light" w:cs="Calibri Light"/>
                <w:i/>
                <w:iCs/>
                <w:color w:val="1F3A93"/>
                <w:sz w:val="16"/>
                <w:szCs w:val="16"/>
              </w:rPr>
              <w:t>LPA or PPM.For SIFs, the offering document (document d’émission) must be submitted to and approved by the CSSF as part of the authorisation process. It is the primary investor disclosure document and has a different status from a RAIF PPM — any change to its essential elements is subject to prior CSSF approval (Article 54 of the SIF Law). The LPA governs the partnership relationship and is the primary legal document between partners; the offering document is the investor-facing product document.For unregulated SCS/SCSps, the LPA (together with the subscription agreements) is the only required document. A PPM or information memorandum is not legally required but is strongly recommended for investor protection and marketing purposes; where one is issued, it does not form part of the Fund Documents as defined in this Term Sheet.</w:t>
            </w:r>
          </w:p>
          <w:p w14:paraId="43A41560" w14:textId="77777777" w:rsidR="00FA1EC6"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w:t>
            </w:r>
            <w:r>
              <w:rPr>
                <w:rFonts w:ascii="Calibri Light" w:hAnsi="Calibri Light" w:cs="Calibri Light"/>
                <w:b/>
                <w:bCs/>
                <w:i/>
                <w:iCs/>
                <w:color w:val="1F3A93"/>
                <w:sz w:val="16"/>
                <w:szCs w:val="16"/>
              </w:rPr>
              <w:t>Side Letters — Capacity:</w:t>
            </w:r>
            <w:r>
              <w:rPr>
                <w:rFonts w:ascii="Calibri Light" w:hAnsi="Calibri Light" w:cs="Calibri Light"/>
                <w:i/>
                <w:iCs/>
                <w:color w:val="1F3A93"/>
                <w:sz w:val="16"/>
                <w:szCs w:val="16"/>
              </w:rPr>
              <w:t xml:space="preserve"> The GP’s authority to grant side letters should be expressly stated in the LPA. Without express authority, there is a risk that side letter arrangements could be challenged as amendments requiring broader LP consent. Specify the types of rights that may be granted and any limitations (e.g., no side letters that materially prejudice other LPs without LPAC approval).</w:t>
            </w:r>
            <w:r>
              <w:rPr>
                <w:rFonts w:ascii="Calibri Light" w:hAnsi="Calibri Light" w:cs="Calibri Light"/>
                <w:b/>
                <w:bCs/>
                <w:i/>
                <w:iCs/>
                <w:color w:val="1F3A93"/>
                <w:sz w:val="16"/>
                <w:szCs w:val="16"/>
              </w:rPr>
              <w:t>MFN Rights:</w:t>
            </w:r>
            <w:r>
              <w:rPr>
                <w:rFonts w:ascii="Calibri Light" w:hAnsi="Calibri Light" w:cs="Calibri Light"/>
                <w:i/>
                <w:iCs/>
                <w:color w:val="1F3A93"/>
                <w:sz w:val="16"/>
                <w:szCs w:val="16"/>
              </w:rPr>
              <w:t xml:space="preserve"> MFN provisions let qualifying LPs elect into more favourable side letter terms granted to others. The commitment threshold for qualification, the categories of excluded terms (such as regulatory or tax accommodations, relationship co-invest and terms tied to outsized commitments) and the election window are all negotiated and should be specified clearly.</w:t>
            </w:r>
          </w:p>
          <w:p w14:paraId="08D4DE04" w14:textId="77777777" w:rsidR="00B30D41"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Disclosure:</w:t>
            </w:r>
            <w:r>
              <w:rPr>
                <w:rFonts w:ascii="Calibri Light" w:hAnsi="Calibri Light" w:cs="Calibri Light"/>
                <w:i/>
                <w:iCs/>
                <w:color w:val="1F3A93"/>
                <w:sz w:val="16"/>
                <w:szCs w:val="16"/>
              </w:rPr>
              <w:t xml:space="preserve"> Specify whether side letter arrangements are disclosed to investors, and any MFN process. A summary (without LP identification) provided to the LPAC or on request balances transparency with confidentiality. Some LPs negotiate full side letter disclosure rights via their own side letters.</w:t>
            </w:r>
          </w:p>
        </w:tc>
      </w:tr>
      <w:tr w:rsidR="00B30D41" w:rsidRPr="00FA1EC6" w14:paraId="6D275FBB"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2449641F"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Governing Law and Jurisdiction</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2E92C8FD" w14:textId="77777777" w:rsidR="009918EE" w:rsidRPr="00EB59FD" w:rsidRDefault="00B30D41" w:rsidP="008C534D">
            <w:pPr>
              <w:spacing w:before="120" w:after="120"/>
              <w:jc w:val="both"/>
              <w:rPr>
                <w:rFonts w:ascii="Calibri Light" w:hAnsi="Calibri Light" w:cs="Calibri Light"/>
                <w:color w:val="1F3A93"/>
              </w:rPr>
            </w:pPr>
            <w:r>
              <w:rPr>
                <w:rFonts w:ascii="Calibri Light" w:hAnsi="Calibri Light" w:cs="Calibri Light"/>
                <w:color w:val="1F3A93"/>
              </w:rPr>
              <w:t xml:space="preserve">The Fund Documents are governed by and construed in accordance with the laws of the Grand Duchy of Luxembourg. Any disputes arising in connection with the Fund Documents shall be subject to the exclusive jurisdiction of the courts of </w:t>
            </w:r>
            <w:r>
              <w:rPr>
                <w:rFonts w:ascii="Calibri Light" w:hAnsi="Calibri Light" w:cs="Calibri Light"/>
                <w:color w:val="1F3A93"/>
              </w:rPr>
              <w:t xml:space="preserve">the city of Luxembourg (tribunaux d’arrondissement de et à Luxembourg)</w:t>
            </w:r>
            <w:r>
              <w:rPr>
                <w:rFonts w:ascii="Calibri Light" w:hAnsi="Calibri Light" w:cs="Calibri Light"/>
                <w:color w:val="1F3A93"/>
              </w:rPr>
              <w:t xml:space="preserve">.</w:t>
            </w:r>
          </w:p>
          <w:p w14:paraId="50354F93" w14:textId="77777777" w:rsidR="00B30D41" w:rsidRPr="00EB59FD" w:rsidRDefault="00B30D41" w:rsidP="008C534D">
            <w:pPr>
              <w:spacing w:before="120" w:after="120"/>
              <w:jc w:val="both"/>
              <w:rPr>
                <w:rFonts w:ascii="Calibri Light" w:hAnsi="Calibri Light" w:cs="Calibri Light"/>
                <w:color w:val="1F3A93"/>
              </w:rPr>
            </w:pP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283AA70D" w14:textId="77777777" w:rsidR="00B30D41"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Specify the governing law and jurisdiction. If investors from non-EU jurisdictions are targeted (US, Middle East, Asia), consider whether a separate arbitration clause (ICC or LCIA) would be preferable to Luxembourg court litigation. Any investor-specific dispute resolution arrangements should be addressed by side letter.</w:t>
            </w:r>
          </w:p>
        </w:tc>
      </w:tr>
      <w:tr w:rsidR="00B30D41" w:rsidRPr="00FA1EC6" w14:paraId="360F33B5" w14:textId="77777777" w:rsidTr="479FEC54">
        <w:tc>
          <w:tcPr>
            <w:tcW w:w="0" w:type="auto"/>
            <w:gridSpan w:val="3"/>
            <w:tcBorders>
              <w:top w:val="single" w:sz="6" w:space="0" w:color="0D2240"/>
              <w:left w:val="single" w:sz="6" w:space="0" w:color="0D2240"/>
              <w:bottom w:val="single" w:sz="6" w:space="0" w:color="0D2240"/>
              <w:right w:val="single" w:sz="6" w:space="0" w:color="0D2240"/>
            </w:tcBorders>
            <w:shd w:val="clear" w:color="auto" w:fill="1F3A93"/>
            <w:tcMar>
              <w:top w:w="100" w:type="dxa"/>
              <w:left w:w="180" w:type="dxa"/>
              <w:bottom w:w="100" w:type="dxa"/>
              <w:right w:w="180" w:type="dxa"/>
            </w:tcMar>
          </w:tcPr>
          <w:p w14:paraId="1A908A1D"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FFFFFF" w:themeColor="background1"/>
                <w:sz w:val="20"/>
                <w:szCs w:val="20"/>
              </w:rPr>
              <w:t>IX.   MARKETING AND DISTRIBUTION</w:t>
            </w:r>
          </w:p>
        </w:tc>
      </w:tr>
      <w:tr w:rsidR="00B30D41" w:rsidRPr="00FA1EC6" w14:paraId="18C185D8"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003F70F0"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Target Investors</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1CDC53EC"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[[Institutional investors / professional investors / Well-Informed Investors as defined under applicable law]]</w:t>
            </w:r>
            <w:r>
              <w:rPr>
                <w:rFonts w:ascii="Calibri Light" w:hAnsi="Calibri Light" w:cs="Calibri Light"/>
                <w:color w:val="1F3A93"/>
              </w:rPr>
              <w:t xml:space="preserve">. </w:t>
            </w:r>
          </w:p>
          <w:p w14:paraId="4B8C4912"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color w:val="1F3A93"/>
              </w:rPr>
              <w:t xml:space="preserve">The Fund is available only to [Well-Informed Investors / investors meeting the eligibility criteria set out above] and is not available to US Persons. [Notwithstanding the foregoing, Interests may be offered in the United States only to persons who are [accredited investors] [and qualified purchasers], in reliance on exemptions </w:t>
            </w:r>
            <w:r>
              <w:rPr>
                <w:rFonts w:ascii="Calibri Light" w:hAnsi="Calibri Light" w:cs="Calibri Light"/>
                <w:color w:val="1F3A93"/>
              </w:rPr>
              <w:t>from registration under the US Securities Act and the US Investment Company Act.]</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5FDC1293"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 xml:space="preserve">Define the target investor base clearly — this drives the distribution strategy, marketing materials, and regulatory notification requirements. RAIF: Well-Informed Investors only (see eligibility row above). SIF: the same Well-Informed Investor criteria apply (Article 2 of the SIF Law). Non-EU targeted investors require analysis of local private placement rules. Where Interests are offered outside the United States in reliance on Regulation S, offers </w:t>
            </w:r>
            <w:r>
              <w:rPr>
                <w:rFonts w:ascii="Calibri Light" w:hAnsi="Calibri Light" w:cs="Calibri Light"/>
                <w:i/>
                <w:iCs/>
                <w:color w:val="1F3A93"/>
                <w:sz w:val="16"/>
                <w:szCs w:val="16"/>
              </w:rPr>
              <w:t>and sales to US Persons are excluded. Any admission of US investors requires an exemption from registration under the US Securities Act (e.g. Regulation D) and an exclusion under the US Investment Company Act (e.g. Section 3(c)(1) or 3(c)(7)), and US tax and ERISA analysis.</w:t>
            </w:r>
          </w:p>
        </w:tc>
      </w:tr>
      <w:tr w:rsidR="00B30D41" w:rsidRPr="00FA1EC6" w14:paraId="302D764F"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53386D49"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Marketing and Distribution</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36C55DBD"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[[Direct marketing by the General Partner / AIFM / placement agents: list jurisdictions]]</w:t>
            </w:r>
            <w:r>
              <w:rPr>
                <w:rFonts w:ascii="Calibri Light" w:hAnsi="Calibri Light" w:cs="Calibri Light"/>
                <w:color w:val="1F3A93"/>
              </w:rPr>
              <w:t xml:space="preserve">. Marketing will be conducted in accordance with the </w:t>
            </w:r>
            <w:r>
              <w:rPr>
                <w:rFonts w:ascii="Calibri Light" w:hAnsi="Calibri Light" w:cs="Calibri Light"/>
                <w:color w:val="1F3A93"/>
              </w:rPr>
              <w:t xml:space="preserve">AIFMD marketing passport where available to the AIFM (Articles 31 and 32 of AIFMD), and otherwise in accordance with the applicable national private placement rules in each target jurisdiction</w:t>
            </w:r>
            <w:r>
              <w:rPr>
                <w:rFonts w:ascii="Calibri Light" w:hAnsi="Calibri Light" w:cs="Calibri Light"/>
                <w:color w:val="1F3A93"/>
              </w:rPr>
              <w:t xml:space="preserve">. A placement agent mandate is </w:t>
            </w:r>
            <w:r>
              <w:rPr>
                <w:rFonts w:ascii="Calibri Light" w:hAnsi="Calibri Light" w:cs="Calibri Light"/>
                <w:b/>
                <w:bCs/>
                <w:color w:val="1F3A93"/>
              </w:rPr>
              <w:t>[[not anticipated / to be confirmed with [[PlacementAgentName]]]]</w:t>
            </w:r>
            <w:r>
              <w:rPr>
                <w:rFonts w:ascii="Calibri Light" w:hAnsi="Calibri Light" w:cs="Calibri Light"/>
                <w:color w:val="1F3A93"/>
              </w:rPr>
              <w:t>.</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4CA9FBCB"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Marketing strategy for EU AIFMs: for marketing in EEA jurisdictions, an EU AIFM may use the AIFMD marketing passport (Article 31/32 notification to the CSSF and the host member state authority). For marketing outside the EEA (Switzerland, UK, Middle East, US, Asia), individual national private placement rules apply — legal analysis required for each target jurisdiction. Confirm with the AIFM whether passport notifications are in place before first LP contact in any EEA jurisdiction. For non-EU AIFMs, NPPR applies throughout the EEA.</w:t>
            </w:r>
          </w:p>
        </w:tc>
      </w:tr>
      <w:tr w:rsidR="00B30D41" w:rsidRPr="00FA1EC6" w14:paraId="2DF08D46"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5B208D30"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Pre-Marketing</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0AD55823" w14:textId="77777777" w:rsidR="00B913DF" w:rsidRPr="00EB59FD" w:rsidRDefault="00B30D41" w:rsidP="008C534D">
            <w:pPr>
              <w:spacing w:before="120" w:after="120"/>
              <w:jc w:val="both"/>
              <w:rPr>
                <w:rFonts w:ascii="Calibri Light" w:hAnsi="Calibri Light" w:cs="Calibri Light"/>
                <w:color w:val="1F3A93"/>
              </w:rPr>
            </w:pPr>
            <w:r>
              <w:rPr>
                <w:rFonts w:ascii="Calibri Light" w:hAnsi="Calibri Light" w:cs="Calibri Light"/>
                <w:color w:val="1F3A93"/>
              </w:rPr>
              <w:t>Pre-marketing activities in EEA Member States shall be conducted in compliance with Article 28-1 of the AIFM Law (transposing Article 30a of AIFMD) (as transposed in each relevant Member State). Pre-marketing materials shall not constitute an offer or a final Fund Document. A reverse solicitation log shall be maintained.</w:t>
            </w:r>
          </w:p>
          <w:p w14:paraId="35A2E732" w14:textId="77777777" w:rsidR="00B913DF"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 xml:space="preserve">18-Month Subscription Restriction: </w:t>
            </w:r>
            <w:r>
              <w:rPr>
                <w:rFonts w:ascii="Calibri Light" w:hAnsi="Calibri Light" w:cs="Calibri Light"/>
                <w:color w:val="1F3A93"/>
              </w:rPr>
              <w:t>Any subscription by professional investors, within 18 months of the AIFM having begun pre-marketing, to interests in an AIF referred to in the information provided in the context of pre-marketing, or in an AIF established as a result of the pre-marketing, shall be considered to be the result of marketing and shall be subject to the applicable notification procedures (Article 30a(2) AIFMD). The General Partner and the AIFM shall maintain records sufficient to evidence the date on which pre-marketing commenced in respect of each investor and each Member State.</w:t>
            </w:r>
          </w:p>
          <w:p w14:paraId="458C30A5"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CSSF Notification Requirement</w:t>
            </w:r>
            <w:r>
              <w:rPr>
                <w:rFonts w:ascii="Calibri Light" w:hAnsi="Calibri Light" w:cs="Calibri Light"/>
                <w:color w:val="1F3A93"/>
              </w:rPr>
              <w:t>The AIFM shall notify the CSSF in writing within two weeks of commencing pre-marketing activities. The notification shall include:(i) the Member States in which pre-marketing is taking or has taken place;(ii) the period during which pre-marketing is taking or has taken place;(iii) a brief description of the pre-marketing, including information on the investment strategies presented; and(iv) where applicable, a list of AIFs and compartments which are or were the subject of pre-marketing.The CSSF shall promptly inform the competent authorities of the Member States in which pre-marketing is taking or has taken place.</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2E330EB9" w14:textId="77777777" w:rsidR="00B913DF"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i/>
                <w:iCs/>
                <w:color w:val="1F3A93"/>
                <w:sz w:val="16"/>
                <w:szCs w:val="16"/>
              </w:rPr>
              <w:t>Directive (EU) 2019/1160 (transposed in Luxembourg by the Law of 21 July 2021, which inserted Article 28-1 into the AIFM Law with effect from 2 August 2021) introduced a harmonised pre-marketing regime. Pre-marketing is permitted to professional investors without triggering full marketing passport requirements, subject to conditions: (i) the information must not be sufficient to allow investors to commit to acquiring interests in a particular AIF, and must not amount to subscription forms or similar documents, whether in draft or final form, or to constitutional documents, a prospectus or offering documents of a not-yet-established AIF in final form (Article 30a(1)); (ii) subscriptions within 18 months are treated as set out below (Article 30a(2)); (iii) the AIFM sends an informal letter to the CSSF within two weeks of having begun pre-marketing. Maintain a detailed log.</w:t>
            </w:r>
          </w:p>
          <w:p w14:paraId="77C88E72" w14:textId="77777777" w:rsidR="00B913DF"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18-Month Restriction:</w:t>
            </w:r>
            <w:r>
              <w:rPr>
                <w:rFonts w:ascii="Calibri Light" w:hAnsi="Calibri Light" w:cs="Calibri Light"/>
                <w:i/>
                <w:iCs/>
                <w:color w:val="1F3A93"/>
                <w:sz w:val="16"/>
                <w:szCs w:val="16"/>
              </w:rPr>
              <w:t xml:space="preserve"> This is a critical compliance point. Any subscription by professional investors within 18 months of the AIFM having begun pre-marketing, to interests in an AIF referred to in the pre-marketing information or established as a result of it, is considered to be the result of marketing and is subject to the applicable notification procedures. Failure to observe this restriction could result in regulatory breaches in multiple EEA jurisdictions. Maintain contemporaneous records of pre-marketing dates by investor and jurisdiction.</w:t>
            </w:r>
          </w:p>
          <w:p w14:paraId="640D90F1" w14:textId="77777777" w:rsidR="00B913DF"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CSSF Notification:</w:t>
            </w:r>
            <w:r>
              <w:rPr>
                <w:rFonts w:ascii="Calibri Light" w:hAnsi="Calibri Light" w:cs="Calibri Light"/>
                <w:i/>
                <w:iCs/>
                <w:color w:val="1F3A93"/>
                <w:sz w:val="16"/>
                <w:szCs w:val="16"/>
              </w:rPr>
              <w:t xml:space="preserve"> The two-week notification window is measured from the commencement of pre-marketing activities. Late notification may result in regulatory sanction. The notification is made to the CSSF (as home state regulator of the AIFM); the CSSF then notifies host state authorities. The notification does not require CSSF approval — it is an information-only filing.</w:t>
            </w:r>
          </w:p>
          <w:p w14:paraId="777E4C2F" w14:textId="77777777" w:rsidR="00B913DF"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Content Restrictions:</w:t>
            </w:r>
            <w:r>
              <w:rPr>
                <w:rFonts w:ascii="Calibri Light" w:hAnsi="Calibri Light" w:cs="Calibri Light"/>
                <w:i/>
                <w:iCs/>
                <w:color w:val="1F3A93"/>
                <w:sz w:val="16"/>
                <w:szCs w:val="16"/>
              </w:rPr>
              <w:t xml:space="preserve"> Pre-marketing information must not include subscription forms or similar documents, whether in draft or </w:t>
            </w:r>
            <w:r>
              <w:rPr>
                <w:rFonts w:ascii="Calibri Light" w:hAnsi="Calibri Light" w:cs="Calibri Light"/>
                <w:i/>
                <w:iCs/>
                <w:color w:val="1F3A93"/>
                <w:sz w:val="16"/>
                <w:szCs w:val="16"/>
              </w:rPr>
              <w:t>final form, or constitutional documents, a prospectus or offering documents of a not-yet-established AIF in final form (Article 30a(1) AIFMD). The distinction between ‘pre-marketing’ and ‘marketing’ is factual and based on the content and timing of communications.</w:t>
            </w:r>
          </w:p>
          <w:p w14:paraId="433D90B9" w14:textId="77777777" w:rsidR="00B913DF" w:rsidRPr="00EB59FD" w:rsidRDefault="00B30D41" w:rsidP="008C534D">
            <w:pPr>
              <w:spacing w:before="120" w:after="120"/>
              <w:jc w:val="both"/>
              <w:rPr>
                <w:rFonts w:ascii="Calibri Light" w:hAnsi="Calibri Light" w:cs="Calibri Light"/>
                <w:i/>
                <w:iCs/>
                <w:color w:val="1F3A93"/>
                <w:sz w:val="16"/>
                <w:szCs w:val="16"/>
              </w:rPr>
            </w:pPr>
            <w:r>
              <w:rPr>
                <w:rFonts w:ascii="Calibri Light" w:hAnsi="Calibri Light" w:cs="Calibri Light"/>
                <w:b/>
                <w:bCs/>
                <w:i/>
                <w:iCs/>
                <w:color w:val="1F3A93"/>
                <w:sz w:val="16"/>
                <w:szCs w:val="16"/>
              </w:rPr>
              <w:t>Reverse Solicitation:</w:t>
            </w:r>
            <w:r>
              <w:rPr>
                <w:rFonts w:ascii="Calibri Light" w:hAnsi="Calibri Light" w:cs="Calibri Light"/>
                <w:i/>
                <w:iCs/>
                <w:color w:val="1F3A93"/>
                <w:sz w:val="16"/>
                <w:szCs w:val="16"/>
              </w:rPr>
              <w:t xml:space="preserve"> A subscription falling within Article 30a(2) AIFMD is considered to be the result of marketing; reverse solicitation cannot be relied upon for it. Outside that case, whether a subscription results from the investor's own initiative is a question of fact under the rules of each Member State and should be documented contemporaneously.</w:t>
            </w:r>
          </w:p>
          <w:p w14:paraId="2BE5E78B"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i/>
                <w:iCs/>
                <w:color w:val="1F3A93"/>
                <w:sz w:val="16"/>
                <w:szCs w:val="16"/>
              </w:rPr>
              <w:t>Record-Keeping:</w:t>
            </w:r>
            <w:r>
              <w:rPr>
                <w:rFonts w:ascii="Calibri Light" w:hAnsi="Calibri Light" w:cs="Calibri Light"/>
                <w:i/>
                <w:iCs/>
                <w:color w:val="1F3A93"/>
                <w:sz w:val="16"/>
                <w:szCs w:val="16"/>
              </w:rPr>
              <w:t xml:space="preserve"> Maintain detailed records including: (i) date and nature of each pre-marketing contact; (ii) identity of recipients (investor name, jurisdiction); (iii) materials provided; (iv) CSSF notification and date. Records should be retained for the period required under the record-keeping and AML/CFT rules applicable to the AIFM and the Fund.</w:t>
            </w:r>
          </w:p>
        </w:tc>
      </w:tr>
      <w:tr w:rsidR="00B30D41" w:rsidRPr="00FA1EC6" w14:paraId="2A0BB3E3" w14:textId="77777777" w:rsidTr="479FEC54">
        <w:tc>
          <w:tcPr>
            <w:tcW w:w="19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00687EBD"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Placement Agent</w:t>
            </w:r>
          </w:p>
        </w:tc>
        <w:tc>
          <w:tcPr>
            <w:tcW w:w="4200" w:type="dxa"/>
            <w:tcBorders>
              <w:top w:val="single" w:sz="3" w:space="0" w:color="C8B882"/>
              <w:left w:val="single" w:sz="3" w:space="0" w:color="C8B882"/>
              <w:bottom w:val="single" w:sz="3" w:space="0" w:color="C8B882"/>
              <w:right w:val="single" w:sz="3" w:space="0" w:color="C8B882"/>
            </w:tcBorders>
            <w:tcMar>
              <w:top w:w="80" w:type="dxa"/>
              <w:left w:w="120" w:type="dxa"/>
              <w:bottom w:w="80" w:type="dxa"/>
              <w:right w:w="120" w:type="dxa"/>
            </w:tcMar>
          </w:tcPr>
          <w:p w14:paraId="43D2D700"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b/>
                <w:bCs/>
                <w:color w:val="1F3A93"/>
              </w:rPr>
              <w:t>[[None / Name and firm of placement agent, jurisdiction]]</w:t>
            </w:r>
            <w:r>
              <w:rPr>
                <w:rFonts w:ascii="Calibri Light" w:hAnsi="Calibri Light" w:cs="Calibri Light"/>
                <w:color w:val="1F3A93"/>
              </w:rPr>
              <w:t xml:space="preserve">. </w:t>
            </w:r>
            <w:r>
              <w:rPr>
                <w:rFonts w:ascii="Calibri Light" w:hAnsi="Calibri Light" w:cs="Calibri Light"/>
                <w:b/>
                <w:bCs/>
                <w:color w:val="1F3A93"/>
              </w:rPr>
              <w:t>[[If applicable: ]</w:t>
            </w:r>
            <w:r>
              <w:rPr>
                <w:rFonts w:ascii="Calibri Light" w:hAnsi="Calibri Light" w:cs="Calibri Light"/>
                <w:color w:val="1F3A93"/>
              </w:rPr>
              <w:t xml:space="preserve">A placement agent fee of </w:t>
            </w:r>
            <w:r>
              <w:rPr>
                <w:rFonts w:ascii="Calibri Light" w:hAnsi="Calibri Light" w:cs="Calibri Light"/>
                <w:b/>
                <w:bCs/>
                <w:color w:val="1F3A93"/>
              </w:rPr>
              <w:t>[[X%]]</w:t>
            </w:r>
            <w:r>
              <w:rPr>
                <w:rFonts w:ascii="Calibri Light" w:hAnsi="Calibri Light" w:cs="Calibri Light"/>
                <w:color w:val="1F3A93"/>
              </w:rPr>
              <w:t xml:space="preserve"> per annum of Commitments sourced, payable from the management fee / the Fund, for a period of </w:t>
            </w:r>
            <w:r>
              <w:rPr>
                <w:rFonts w:ascii="Calibri Light" w:hAnsi="Calibri Light" w:cs="Calibri Light"/>
                <w:b/>
                <w:bCs/>
                <w:color w:val="1F3A93"/>
              </w:rPr>
              <w:t>[[[X]] years]</w:t>
            </w:r>
            <w:r>
              <w:rPr>
                <w:rFonts w:ascii="Calibri Light" w:hAnsi="Calibri Light" w:cs="Calibri Light"/>
                <w:color w:val="1F3A93"/>
              </w:rPr>
              <w:t xml:space="preserve"> from the relevant Investor's Initial Closing.]</w:t>
            </w:r>
          </w:p>
        </w:tc>
        <w:tc>
          <w:tcPr>
            <w:tcW w:w="3260" w:type="dxa"/>
            <w:tcBorders>
              <w:top w:val="single" w:sz="3" w:space="0" w:color="C8B882"/>
              <w:left w:val="single" w:sz="3" w:space="0" w:color="C8B882"/>
              <w:bottom w:val="single" w:sz="3" w:space="0" w:color="C8B882"/>
              <w:right w:val="single" w:sz="3" w:space="0" w:color="C8B882"/>
            </w:tcBorders>
            <w:shd w:val="clear" w:color="auto" w:fill="F0EBE0"/>
            <w:tcMar>
              <w:top w:w="80" w:type="dxa"/>
              <w:left w:w="120" w:type="dxa"/>
              <w:bottom w:w="80" w:type="dxa"/>
              <w:right w:w="120" w:type="dxa"/>
            </w:tcMar>
          </w:tcPr>
          <w:p w14:paraId="0A8EF9A4" w14:textId="77777777" w:rsidR="00B30D41" w:rsidRPr="00EB59FD" w:rsidRDefault="00B30D41" w:rsidP="008C534D">
            <w:pPr>
              <w:spacing w:before="120" w:after="120"/>
              <w:jc w:val="both"/>
              <w:rPr>
                <w:rFonts w:ascii="Calibri Light" w:hAnsi="Calibri Light" w:cs="Calibri Light"/>
                <w:color w:val="1F3A93"/>
              </w:rPr>
            </w:pPr>
            <w:r>
              <w:rPr>
                <w:rFonts w:ascii="Calibri Light" w:hAnsi="Calibri Light" w:cs="Calibri Light"/>
                <w:i/>
                <w:iCs/>
                <w:color w:val="1F3A93"/>
                <w:sz w:val="16"/>
                <w:szCs w:val="16"/>
              </w:rPr>
              <w:t>Placement agent arrangements require careful documentation: (i) a separate placement agent agreement specifying the mandate, territories, fee, tail period, and exclusivity (if any); (ii) AIFMD marketing notification must name the placement agent; (iii) placement agent fees paid from the Fund (vs. from the GP) must be fully disclosed in the PPM and may require LP consent in some jurisdictions. The placement agreement may include tail provisions (continuing fee obligation for investors introduced within X months of termination).</w:t>
            </w:r>
          </w:p>
        </w:tc>
      </w:tr>
    </w:tbl>
    <w:p w14:paraId="1E00E4DB" w14:textId="77777777" w:rsidR="006F1463" w:rsidRPr="00EB59FD" w:rsidRDefault="006F1463" w:rsidP="008C534D">
      <w:pPr>
        <w:spacing w:before="120" w:after="120"/>
        <w:jc w:val="both"/>
        <w:rPr>
          <w:rFonts w:ascii="Calibri Light" w:hAnsi="Calibri Light" w:cs="Calibri Light"/>
          <w:color w:val="1F3A93"/>
        </w:rPr>
      </w:pPr>
    </w:p>
    <w:p w14:paraId="235873C9" w14:textId="77777777" w:rsidR="006F1463" w:rsidRPr="00EB59FD" w:rsidRDefault="006F1463" w:rsidP="008C534D">
      <w:pPr>
        <w:jc w:val="both"/>
        <w:rPr>
          <w:rFonts w:ascii="Calibri Light" w:hAnsi="Calibri Light" w:cs="Calibri Light"/>
          <w:color w:val="1F3A93"/>
        </w:rPr>
      </w:pPr>
      <w:r>
        <w:rPr>
          <w:rFonts w:ascii="Calibri Light" w:hAnsi="Calibri Light" w:cs="Calibri Light"/>
          <w:color w:val="1F3A93"/>
        </w:rPr>
        <w:br w:type="page"/>
      </w:r>
    </w:p>
    <w:tbl>
      <w:tblPr>
        <w:tblW w:w="8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3"/>
      </w:tblGrid>
      <w:tr w:rsidR="006F1463" w:rsidRPr="00FA1EC6" w14:paraId="744CD929" w14:textId="77777777" w:rsidTr="00BD083E">
        <w:tc>
          <w:tcPr>
            <w:tcW w:w="8643" w:type="dxa"/>
            <w:tcBorders>
              <w:top w:val="single" w:sz="3" w:space="0" w:color="C8B882"/>
              <w:left w:val="single" w:sz="3" w:space="0" w:color="C8B882"/>
              <w:bottom w:val="single" w:sz="3" w:space="0" w:color="C8B882"/>
              <w:right w:val="single" w:sz="3" w:space="0" w:color="C8B882"/>
            </w:tcBorders>
            <w:shd w:val="clear" w:color="auto" w:fill="FFF9EC"/>
            <w:tcMar>
              <w:top w:w="60" w:type="dxa"/>
              <w:left w:w="120" w:type="dxa"/>
              <w:bottom w:w="60" w:type="dxa"/>
              <w:right w:w="120" w:type="dxa"/>
            </w:tcMar>
          </w:tcPr>
          <w:p w14:paraId="135EB1C6" w14:textId="77777777" w:rsidR="006F1463" w:rsidRPr="00EB59FD" w:rsidRDefault="006F1463" w:rsidP="008C534D">
            <w:pPr>
              <w:spacing w:before="120" w:after="120"/>
              <w:jc w:val="both"/>
              <w:rPr>
                <w:rFonts w:ascii="Calibri Light" w:hAnsi="Calibri Light" w:cs="Calibri Light"/>
                <w:color w:val="1F3A93"/>
              </w:rPr>
            </w:pPr>
            <w:r>
              <w:rPr>
                <w:rFonts w:ascii="Calibri Light" w:hAnsi="Calibri Light" w:cs="Calibri Light"/>
                <w:b/>
                <w:bCs/>
                <w:color w:val="1F3A93"/>
                <w:sz w:val="16"/>
                <w:szCs w:val="16"/>
              </w:rPr>
              <w:lastRenderedPageBreak/>
              <w:t xml:space="preserve">DEFINITIONS </w:t>
            </w:r>
          </w:p>
          <w:p w14:paraId="32D6C4E8" w14:textId="77777777" w:rsidR="006F1463" w:rsidRPr="00EB59FD" w:rsidRDefault="006F1463" w:rsidP="008C534D">
            <w:pPr>
              <w:spacing w:before="120" w:after="120"/>
              <w:jc w:val="both"/>
              <w:rPr>
                <w:rFonts w:ascii="Calibri Light" w:hAnsi="Calibri Light" w:cs="Calibri Light"/>
                <w:color w:val="1F3A93"/>
              </w:rPr>
            </w:pPr>
            <w:r>
              <w:rPr>
                <w:rFonts w:ascii="Calibri Light" w:hAnsi="Calibri Light" w:cs="Calibri Light"/>
                <w:color w:val="1F3A93"/>
              </w:rPr>
              <w:t>The terms below have the following meanings in this Term Sheet:</w:t>
            </w:r>
          </w:p>
        </w:tc>
      </w:tr>
    </w:tbl>
    <w:p w14:paraId="4333F4C7" w14:textId="77777777" w:rsidR="006F1463" w:rsidRPr="00EB59FD" w:rsidRDefault="006F1463" w:rsidP="006F1463">
      <w:pPr>
        <w:spacing w:before="120" w:after="120"/>
        <w:rPr>
          <w:rFonts w:ascii="Calibri Light" w:hAnsi="Calibri Light" w:cs="Calibri Light"/>
          <w:color w:val="1F3A93"/>
        </w:rPr>
      </w:pPr>
    </w:p>
    <w:p w14:paraId="3B424BF0"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1915 Law</w:t>
      </w:r>
      <w:r>
        <w:rPr>
          <w:rFonts w:ascii="Calibri Light" w:hAnsi="Calibri Light" w:cs="Calibri Light"/>
          <w:color w:val="1F3A93"/>
        </w:rPr>
        <w:t xml:space="preserve"> The Luxembourg law of 10 August 1915 on commercial companies, as amended.</w:t>
      </w:r>
    </w:p>
    <w:p w14:paraId="79680143" w14:textId="77777777" w:rsidR="00104D75" w:rsidRDefault="00463E71">
      <w:pPr>
        <w:spacing w:before="120" w:after="120"/>
        <w:rPr>
          <w:rFonts w:ascii="Calibri Light" w:hAnsi="Calibri Light" w:cs="Calibri Light"/>
          <w:color w:val="1F3A93"/>
        </w:rPr>
      </w:pPr>
      <w:r>
        <w:rPr>
          <w:rFonts w:ascii="Calibri Light" w:hAnsi="Calibri Light" w:cs="Calibri Light"/>
          <w:b/>
          <w:bCs/>
          <w:color w:val="1F3A93"/>
        </w:rPr>
        <w:t>Administration Agent</w:t>
      </w:r>
      <w:r>
        <w:rPr>
          <w:rFonts w:ascii="Calibri Light" w:hAnsi="Calibri Light" w:cs="Calibri Light"/>
          <w:color w:val="1F3A93"/>
        </w:rPr>
        <w:t xml:space="preserve"> The administration agent of the Fund identified in the Administration Agent section, responsible for NAV calculation, the register of Limited Partners, capital call and distribution processing and related reporting. The register of Limited Partners must be kept by the Fund and contain a full and certified copy of the latest version of the LPA, a list of all partners with the particulars required by [Article 310-1(5) (SCS) / Article 320-1(6) (SCSp)] of the 1915 Law and their respective interests, and a record of all transfers of interests and the date on which each was notified to or accepted by the Fund, open to inspection by any partner subject to any restrictions in the LPA.</w:t>
      </w:r>
    </w:p>
    <w:p w14:paraId="260567B2"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Advisory Committee</w:t>
      </w:r>
      <w:r>
        <w:rPr>
          <w:rFonts w:ascii="Calibri Light" w:hAnsi="Calibri Light" w:cs="Calibri Light"/>
          <w:color w:val="1F3A93"/>
        </w:rPr>
        <w:t xml:space="preserve"> has the meaning given in the Advisory Committee section.</w:t>
      </w:r>
    </w:p>
    <w:p w14:paraId="3867D0FC" w14:textId="77777777" w:rsidR="00104D75" w:rsidRDefault="00463E71">
      <w:pPr>
        <w:spacing w:before="120" w:after="120"/>
        <w:rPr>
          <w:rFonts w:ascii="Calibri Light" w:hAnsi="Calibri Light" w:cs="Calibri Light"/>
          <w:color w:val="1F3A93"/>
        </w:rPr>
      </w:pPr>
      <w:r>
        <w:rPr>
          <w:rFonts w:ascii="Calibri Light" w:hAnsi="Calibri Light" w:cs="Calibri Light"/>
          <w:b/>
          <w:bCs/>
          <w:color w:val="1F3A93"/>
        </w:rPr>
        <w:t>Aggregate Commitments</w:t>
      </w:r>
      <w:r>
        <w:rPr>
          <w:rFonts w:ascii="Calibri Light" w:hAnsi="Calibri Light" w:cs="Calibri Light"/>
          <w:color w:val="1F3A93"/>
        </w:rPr>
        <w:t xml:space="preserve"> The aggregate of the Commitments of all Partners as at the relevant date.</w:t>
      </w:r>
    </w:p>
    <w:p w14:paraId="01C92BAB"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AIFM</w:t>
      </w:r>
      <w:r>
        <w:rPr>
          <w:rFonts w:ascii="Calibri Light" w:hAnsi="Calibri Light" w:cs="Calibri Light"/>
          <w:color w:val="1F3A93"/>
        </w:rPr>
        <w:t xml:space="preserve"> The alternative investment fund manager of the Fund, authorised or registered under the AIFM Law or authorised in another Member State under the AIFMD, as described in the AIFM section.</w:t>
      </w:r>
    </w:p>
    <w:p w14:paraId="1D9CE39D"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AIFM Law</w:t>
      </w:r>
      <w:r>
        <w:rPr>
          <w:rFonts w:ascii="Calibri Light" w:hAnsi="Calibri Light" w:cs="Calibri Light"/>
          <w:color w:val="1F3A93"/>
        </w:rPr>
        <w:t xml:space="preserve"> The Luxembourg law of 12 July 2013 on alternative investment fund managers, as amended.</w:t>
      </w:r>
    </w:p>
    <w:p w14:paraId="26D4C320"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AIFMD</w:t>
      </w:r>
      <w:r>
        <w:rPr>
          <w:rFonts w:ascii="Calibri Light" w:hAnsi="Calibri Light" w:cs="Calibri Light"/>
          <w:color w:val="1F3A93"/>
        </w:rPr>
        <w:t xml:space="preserve"> Directive 2011/61/EU of the European Parliament and of the Council on alternative investment fund managers, as amended.</w:t>
      </w:r>
    </w:p>
    <w:p w14:paraId="4B4E58DF"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Business Day</w:t>
      </w:r>
      <w:r>
        <w:rPr>
          <w:rFonts w:ascii="Calibri Light" w:hAnsi="Calibri Light" w:cs="Calibri Light"/>
          <w:color w:val="1F3A93"/>
        </w:rPr>
        <w:t xml:space="preserve"> Any day on which banks are open for business in Luxembourg.</w:t>
      </w:r>
    </w:p>
    <w:p w14:paraId="17B45056"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Carried Interest</w:t>
      </w:r>
      <w:r>
        <w:rPr>
          <w:rFonts w:ascii="Calibri Light" w:hAnsi="Calibri Light" w:cs="Calibri Light"/>
          <w:color w:val="1F3A93"/>
        </w:rPr>
        <w:t xml:space="preserve"> has the meaning given in the</w:t>
      </w:r>
      <w:r>
        <w:rPr>
          <w:color w:val="1F3A93"/>
        </w:rPr>
        <w:t xml:space="preserve"> </w:t>
      </w:r>
      <w:r>
        <w:rPr>
          <w:rFonts w:ascii="Calibri Light" w:hAnsi="Calibri Light" w:cs="Calibri Light"/>
          <w:color w:val="1F3A93"/>
        </w:rPr>
        <w:t>Carried Interest and Distributions section.</w:t>
      </w:r>
    </w:p>
    <w:p w14:paraId="7B7AA73D" w14:textId="77777777" w:rsidR="00104D75" w:rsidRDefault="00463E71">
      <w:pPr>
        <w:spacing w:before="120" w:after="120"/>
        <w:rPr>
          <w:rFonts w:ascii="Calibri Light" w:hAnsi="Calibri Light" w:cs="Calibri Light"/>
          <w:color w:val="1F3A93"/>
        </w:rPr>
      </w:pPr>
      <w:r>
        <w:rPr>
          <w:rFonts w:ascii="Calibri Light" w:hAnsi="Calibri Light" w:cs="Calibri Light"/>
          <w:b/>
          <w:bCs/>
          <w:color w:val="1F3A93"/>
        </w:rPr>
        <w:t>Carried Interest Partner</w:t>
      </w:r>
      <w:r>
        <w:rPr>
          <w:rFonts w:ascii="Calibri Light" w:hAnsi="Calibri Light" w:cs="Calibri Light"/>
          <w:color w:val="1F3A93"/>
        </w:rPr>
        <w:t xml:space="preserve"> The General Partner or such other person as the General Partner may direct to receive the Carried Interest, as described in the Carried Interest and Distributions section.</w:t>
      </w:r>
    </w:p>
    <w:p w14:paraId="2B6ED19D"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Carry Vehicle</w:t>
      </w:r>
      <w:r>
        <w:rPr>
          <w:rFonts w:ascii="Calibri Light" w:hAnsi="Calibri Light" w:cs="Calibri Light"/>
          <w:color w:val="1F3A93"/>
        </w:rPr>
        <w:t xml:space="preserve"> has the meaning given in the Carry Vehicle section.</w:t>
      </w:r>
    </w:p>
    <w:p w14:paraId="556C30A7"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Catch-Up</w:t>
      </w:r>
      <w:r>
        <w:rPr>
          <w:rFonts w:ascii="Calibri Light" w:hAnsi="Calibri Light" w:cs="Calibri Light"/>
          <w:color w:val="1F3A93"/>
        </w:rPr>
        <w:t xml:space="preserve"> has the meaning given in the Carried Interest and Distributions section.</w:t>
      </w:r>
    </w:p>
    <w:p w14:paraId="32934E7C"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Catch-Up Contribution</w:t>
      </w:r>
      <w:r>
        <w:rPr>
          <w:rFonts w:ascii="Calibri Light" w:hAnsi="Calibri Light" w:cs="Calibri Light"/>
          <w:color w:val="1F3A93"/>
        </w:rPr>
        <w:t xml:space="preserve"> has the meaning given in the Final Closing Date section.</w:t>
      </w:r>
    </w:p>
    <w:p w14:paraId="5836C064" w14:textId="77777777" w:rsidR="00104D75" w:rsidRDefault="00463E71">
      <w:pPr>
        <w:spacing w:before="120" w:after="120"/>
        <w:rPr>
          <w:rFonts w:ascii="Calibri Light" w:hAnsi="Calibri Light" w:cs="Calibri Light"/>
          <w:color w:val="1F3A93"/>
        </w:rPr>
      </w:pPr>
      <w:r>
        <w:rPr>
          <w:rFonts w:ascii="Calibri Light" w:hAnsi="Calibri Light" w:cs="Calibri Light"/>
          <w:b/>
          <w:bCs/>
          <w:color w:val="1F3A93"/>
        </w:rPr>
        <w:t>Cause</w:t>
      </w:r>
      <w:r>
        <w:rPr>
          <w:rFonts w:ascii="Calibri Light" w:hAnsi="Calibri Light" w:cs="Calibri Light"/>
          <w:color w:val="1F3A93"/>
        </w:rPr>
        <w:t xml:space="preserve"> has the meaning given in the GP Removal section.</w:t>
      </w:r>
    </w:p>
    <w:p w14:paraId="477F91E5"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Circular 25/901</w:t>
      </w:r>
      <w:r>
        <w:rPr>
          <w:rFonts w:ascii="Calibri Light" w:hAnsi="Calibri Light" w:cs="Calibri Light"/>
          <w:color w:val="1F3A93"/>
        </w:rPr>
        <w:t xml:space="preserve"> CSSF Circular 25/901 of 19 December 2025 relating to specialised investment funds, investment companies in risk capital, and Part II undertakings for collective investment, which, among others, repeals and replaces Circular CSSF 07/309.</w:t>
      </w:r>
    </w:p>
    <w:p w14:paraId="040CE8AB"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Clawback</w:t>
      </w:r>
      <w:r>
        <w:rPr>
          <w:rFonts w:ascii="Calibri Light" w:hAnsi="Calibri Light" w:cs="Calibri Light"/>
          <w:color w:val="1F3A93"/>
        </w:rPr>
        <w:t xml:space="preserve"> has the meaning given in the Clawback section.</w:t>
      </w:r>
    </w:p>
    <w:p w14:paraId="7E469FDD" w14:textId="77777777" w:rsidR="00104D75" w:rsidRDefault="00463E71">
      <w:pPr>
        <w:spacing w:before="120" w:after="120"/>
        <w:rPr>
          <w:rFonts w:ascii="Calibri Light" w:hAnsi="Calibri Light" w:cs="Calibri Light"/>
          <w:color w:val="1F3A93"/>
        </w:rPr>
      </w:pPr>
      <w:r>
        <w:rPr>
          <w:rFonts w:ascii="Calibri Light" w:hAnsi="Calibri Light" w:cs="Calibri Light"/>
          <w:b/>
          <w:bCs/>
          <w:color w:val="1F3A93"/>
        </w:rPr>
        <w:t>Closing</w:t>
      </w:r>
      <w:r>
        <w:rPr>
          <w:rFonts w:ascii="Calibri Light" w:hAnsi="Calibri Light" w:cs="Calibri Light"/>
          <w:color w:val="1F3A93"/>
        </w:rPr>
        <w:t xml:space="preserve"> The Initial Closing or any Subsequent Closing, and Closings shall be construed accordingly.</w:t>
      </w:r>
    </w:p>
    <w:p w14:paraId="766FE6E1"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Commitment</w:t>
      </w:r>
      <w:r>
        <w:rPr>
          <w:rFonts w:ascii="Calibri Light" w:hAnsi="Calibri Light" w:cs="Calibri Light"/>
          <w:color w:val="1F3A93"/>
        </w:rPr>
        <w:t xml:space="preserve"> The maximum amount that a Limited Partner agrees to contribute to the Fund, as set out in its Subscription Agreement.</w:t>
      </w:r>
    </w:p>
    <w:p w14:paraId="3DF940D9"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Compartment</w:t>
      </w:r>
      <w:r>
        <w:rPr>
          <w:rFonts w:ascii="Calibri Light" w:hAnsi="Calibri Light" w:cs="Calibri Light"/>
          <w:color w:val="1F3A93"/>
        </w:rPr>
        <w:t xml:space="preserve"> A sub-fund of the Fund with segregated assets and liabilities, as designated in the Fund Documents.</w:t>
      </w:r>
    </w:p>
    <w:p w14:paraId="1E398918" w14:textId="77777777" w:rsidR="00104D75" w:rsidRDefault="00463E71">
      <w:pPr>
        <w:spacing w:before="120" w:after="120"/>
        <w:rPr>
          <w:rFonts w:ascii="Calibri Light" w:hAnsi="Calibri Light" w:cs="Calibri Light"/>
          <w:color w:val="1F3A93"/>
        </w:rPr>
      </w:pPr>
      <w:r>
        <w:rPr>
          <w:rFonts w:ascii="Calibri Light" w:hAnsi="Calibri Light" w:cs="Calibri Light"/>
          <w:b/>
          <w:bCs/>
          <w:color w:val="1F3A93"/>
        </w:rPr>
        <w:t>Compartment Ordinary Resolution</w:t>
      </w:r>
      <w:r>
        <w:rPr>
          <w:rFonts w:ascii="Calibri Light" w:hAnsi="Calibri Light" w:cs="Calibri Light"/>
          <w:color w:val="1F3A93"/>
        </w:rPr>
        <w:t xml:space="preserve"> A resolution of the Limited Partners of the relevant Compartment passed by [[a simple majority]] of Commitments in that Compartment, excluding the General Partner and its affiliates.</w:t>
      </w:r>
    </w:p>
    <w:p w14:paraId="204D2368"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CSSF</w:t>
      </w:r>
      <w:r>
        <w:rPr>
          <w:rFonts w:ascii="Calibri Light" w:hAnsi="Calibri Light" w:cs="Calibri Light"/>
          <w:color w:val="1F3A93"/>
        </w:rPr>
        <w:t xml:space="preserve"> The </w:t>
      </w:r>
      <w:r>
        <w:rPr>
          <w:rFonts w:ascii="Calibri Light" w:hAnsi="Calibri Light" w:cs="Calibri Light"/>
          <w:i/>
          <w:iCs/>
          <w:color w:val="1F3A93"/>
        </w:rPr>
        <w:t>Commission de Surveillance du Secteur Financier</w:t>
      </w:r>
      <w:r>
        <w:rPr>
          <w:rFonts w:ascii="Calibri Light" w:hAnsi="Calibri Light" w:cs="Calibri Light"/>
          <w:color w:val="1F3A93"/>
        </w:rPr>
        <w:t>, the Luxembourg financial sector regulator.</w:t>
      </w:r>
    </w:p>
    <w:p w14:paraId="4A53FD69"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Defaulting LP</w:t>
      </w:r>
      <w:r>
        <w:rPr>
          <w:rFonts w:ascii="Calibri Light" w:hAnsi="Calibri Light" w:cs="Calibri Light"/>
          <w:color w:val="1F3A93"/>
        </w:rPr>
        <w:t xml:space="preserve"> has the meaning given in the Defaulting LP section.</w:t>
      </w:r>
    </w:p>
    <w:p w14:paraId="132D7A91"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Depositary</w:t>
      </w:r>
      <w:r>
        <w:rPr>
          <w:rFonts w:ascii="Calibri Light" w:hAnsi="Calibri Light" w:cs="Calibri Light"/>
          <w:color w:val="1F3A93"/>
        </w:rPr>
        <w:t xml:space="preserve"> The depositary appointed for the Fund under the AIFM Law, the RAIF Law or the SIF Law, as applicable, as described in the Depositary section.</w:t>
      </w:r>
    </w:p>
    <w:p w14:paraId="52C3C2D9"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Drawn Commitment</w:t>
      </w:r>
      <w:r>
        <w:rPr>
          <w:rFonts w:ascii="Calibri Light" w:hAnsi="Calibri Light" w:cs="Calibri Light"/>
          <w:color w:val="1F3A93"/>
        </w:rPr>
        <w:t xml:space="preserve"> Amounts actually called from a Limited Partner by way of capital call notices, whether for investments, fees, or expenses.</w:t>
      </w:r>
    </w:p>
    <w:p w14:paraId="3B16E52F"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Eligible Investor</w:t>
      </w:r>
      <w:r>
        <w:rPr>
          <w:rFonts w:ascii="Calibri Light" w:hAnsi="Calibri Light" w:cs="Calibri Light"/>
          <w:color w:val="1F3A93"/>
        </w:rPr>
        <w:t xml:space="preserve"> An investor who meets the applicable eligibility criteria: for a RAIF, a Well-Informed Investor within the meaning of Article 2 of the RAIF Law; for a SIF, a Well-Informed Investor within the meaning of Article 2 of the SIF Law; for an unregulated SCSp, an investor meeting the contractual eligibility criteria set out in the LPA.</w:t>
      </w:r>
    </w:p>
    <w:p w14:paraId="78631A8E"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Equalisation Interest</w:t>
      </w:r>
      <w:r>
        <w:rPr>
          <w:rFonts w:ascii="Calibri Light" w:hAnsi="Calibri Light" w:cs="Calibri Light"/>
          <w:color w:val="1F3A93"/>
        </w:rPr>
        <w:t xml:space="preserve"> has the meaning given in the Final Closing Date section.</w:t>
      </w:r>
    </w:p>
    <w:p w14:paraId="0CFEBBAA"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Escrow Account</w:t>
      </w:r>
      <w:r>
        <w:rPr>
          <w:rFonts w:ascii="Calibri Light" w:hAnsi="Calibri Light" w:cs="Calibri Light"/>
          <w:color w:val="1F3A93"/>
        </w:rPr>
        <w:t xml:space="preserve"> has the meaning given in the Escrow / Guarantee Mechanism section.</w:t>
      </w:r>
    </w:p>
    <w:p w14:paraId="237228D3" w14:textId="77777777" w:rsidR="00104D75" w:rsidRDefault="00463E71">
      <w:pPr>
        <w:spacing w:before="120" w:after="120"/>
        <w:rPr>
          <w:rFonts w:ascii="Calibri Light" w:hAnsi="Calibri Light" w:cs="Calibri Light"/>
          <w:color w:val="1F3A93"/>
        </w:rPr>
      </w:pPr>
      <w:r>
        <w:rPr>
          <w:rFonts w:ascii="Calibri Light" w:hAnsi="Calibri Light" w:cs="Calibri Light"/>
          <w:b/>
          <w:bCs/>
          <w:color w:val="1F3A93"/>
        </w:rPr>
        <w:lastRenderedPageBreak/>
        <w:t>Escrow Balance</w:t>
      </w:r>
      <w:r>
        <w:rPr>
          <w:rFonts w:ascii="Calibri Light" w:hAnsi="Calibri Light" w:cs="Calibri Light"/>
          <w:color w:val="1F3A93"/>
        </w:rPr>
        <w:t xml:space="preserve"> The amount standing to the credit of the Escrow Account from time to time, as described in the Escrow / Guarantee Mechanism section.</w:t>
      </w:r>
    </w:p>
    <w:p w14:paraId="6D94E5BD"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Escrow Percentage</w:t>
      </w:r>
      <w:r>
        <w:rPr>
          <w:rFonts w:ascii="Calibri Light" w:hAnsi="Calibri Light" w:cs="Calibri Light"/>
          <w:color w:val="1F3A93"/>
        </w:rPr>
        <w:t xml:space="preserve"> has the meaning given in the Escrow / Guarantee Mechanism section.</w:t>
      </w:r>
    </w:p>
    <w:p w14:paraId="043E819E"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Final Closing Date</w:t>
      </w:r>
      <w:r>
        <w:rPr>
          <w:rFonts w:ascii="Calibri Light" w:hAnsi="Calibri Light" w:cs="Calibri Light"/>
          <w:color w:val="1F3A93"/>
        </w:rPr>
        <w:t xml:space="preserve"> The date on which the Fund ceases to admit new Investors and accept new Commitments, as described in the Final Closing Date section.</w:t>
      </w:r>
    </w:p>
    <w:p w14:paraId="6CFF4AE9"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Fund</w:t>
      </w:r>
      <w:r>
        <w:rPr>
          <w:rFonts w:ascii="Calibri Light" w:hAnsi="Calibri Light" w:cs="Calibri Light"/>
          <w:color w:val="1F3A93"/>
        </w:rPr>
        <w:t xml:space="preserve"> [[FundName]], established as described in this Term Sheet.</w:t>
      </w:r>
    </w:p>
    <w:p w14:paraId="18E9B58C"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Fund Documents</w:t>
      </w:r>
      <w:r>
        <w:rPr>
          <w:rFonts w:ascii="Calibri Light" w:hAnsi="Calibri Light" w:cs="Calibri Light"/>
          <w:color w:val="1F3A93"/>
        </w:rPr>
        <w:t xml:space="preserve"> The LPA, each Subscription Agreement and (i) for a RAIF, the PPM or (ii) for a SIF, the offering document, taken together. For an unregulated SCS/SCSp, no PPM or offering document is required and the Fund Documents consist of the LPA and each Subscription Agreement only.</w:t>
      </w:r>
    </w:p>
    <w:p w14:paraId="58E67AB9" w14:textId="77777777" w:rsidR="00104D75" w:rsidRDefault="00463E71">
      <w:pPr>
        <w:spacing w:before="120" w:after="120"/>
        <w:rPr>
          <w:rFonts w:ascii="Calibri Light" w:hAnsi="Calibri Light" w:cs="Calibri Light"/>
          <w:color w:val="1F3A93"/>
        </w:rPr>
      </w:pPr>
      <w:r>
        <w:rPr>
          <w:rFonts w:ascii="Calibri Light" w:hAnsi="Calibri Light" w:cs="Calibri Light"/>
          <w:b/>
          <w:bCs/>
          <w:color w:val="1F3A93"/>
        </w:rPr>
        <w:t>Fund Expenses</w:t>
      </w:r>
      <w:r>
        <w:rPr>
          <w:rFonts w:ascii="Calibri Light" w:hAnsi="Calibri Light" w:cs="Calibri Light"/>
          <w:color w:val="1F3A93"/>
        </w:rPr>
        <w:t xml:space="preserve"> The expenses borne by the Fund as described in the Fund Expenses section.</w:t>
      </w:r>
    </w:p>
    <w:p w14:paraId="1CFEF442"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General Partner or GP</w:t>
      </w:r>
      <w:r>
        <w:rPr>
          <w:rFonts w:ascii="Calibri Light" w:hAnsi="Calibri Light" w:cs="Calibri Light"/>
          <w:color w:val="1F3A93"/>
        </w:rPr>
        <w:t xml:space="preserve"> The managing general partner of the Fund, as identified in the General Partner section.</w:t>
      </w:r>
    </w:p>
    <w:p w14:paraId="7BED54C6"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Initial Closing</w:t>
      </w:r>
      <w:r>
        <w:rPr>
          <w:rFonts w:ascii="Calibri Light" w:hAnsi="Calibri Light" w:cs="Calibri Light"/>
          <w:color w:val="1F3A93"/>
        </w:rPr>
        <w:t xml:space="preserve"> The first Closing, at which Investors are first admitted to the Fund, occurring on the Initial Closing Date.</w:t>
      </w:r>
    </w:p>
    <w:p w14:paraId="5ADA3719"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Initial Closing</w:t>
      </w:r>
      <w:r>
        <w:rPr>
          <w:rFonts w:ascii="Calibri Light" w:hAnsi="Calibri Light" w:cs="Calibri Light"/>
          <w:color w:val="1F3A93"/>
        </w:rPr>
        <w:t xml:space="preserve"> </w:t>
      </w:r>
      <w:r>
        <w:rPr>
          <w:rFonts w:ascii="Calibri Light" w:hAnsi="Calibri Light" w:cs="Calibri Light"/>
          <w:b/>
          <w:bCs/>
          <w:color w:val="1F3A93"/>
        </w:rPr>
        <w:t>Date</w:t>
      </w:r>
      <w:r>
        <w:rPr>
          <w:rFonts w:ascii="Calibri Light" w:hAnsi="Calibri Light" w:cs="Calibri Light"/>
          <w:color w:val="1F3A93"/>
        </w:rPr>
        <w:t xml:space="preserve"> The first date on which Investors are admitted to the Fund and Commitments become binding, as described in the Initial Closing Date section.</w:t>
      </w:r>
    </w:p>
    <w:p w14:paraId="0080AE00"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Initial Limited Partner</w:t>
      </w:r>
      <w:r>
        <w:rPr>
          <w:rFonts w:ascii="Calibri Light" w:hAnsi="Calibri Light" w:cs="Calibri Light"/>
          <w:color w:val="1F3A93"/>
        </w:rPr>
        <w:t xml:space="preserve"> has the meaning given in the Initial Limited Partner section.</w:t>
      </w:r>
    </w:p>
    <w:p w14:paraId="639FE966"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Investment Advisor</w:t>
      </w:r>
      <w:r>
        <w:rPr>
          <w:rFonts w:ascii="Calibri Light" w:hAnsi="Calibri Light" w:cs="Calibri Light"/>
          <w:color w:val="1F3A93"/>
        </w:rPr>
        <w:t xml:space="preserve"> has the meaning given in the Investment Advisor section.</w:t>
      </w:r>
    </w:p>
    <w:p w14:paraId="08C9DF20"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Investment Period</w:t>
      </w:r>
      <w:r>
        <w:rPr>
          <w:rFonts w:ascii="Calibri Light" w:hAnsi="Calibri Light" w:cs="Calibri Light"/>
          <w:color w:val="1F3A93"/>
        </w:rPr>
        <w:t xml:space="preserve"> The period during which the General Partner may make new investments, as described in the Investment Period section.</w:t>
      </w:r>
    </w:p>
    <w:p w14:paraId="4381913D"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Investor</w:t>
      </w:r>
      <w:r>
        <w:rPr>
          <w:rFonts w:ascii="Calibri Light" w:hAnsi="Calibri Light" w:cs="Calibri Light"/>
          <w:color w:val="1F3A93"/>
        </w:rPr>
        <w:t xml:space="preserve"> Any person who has executed, or applies to execute, a Subscription Agreement, and who becomes a Limited Partner upon admission to the Fund.</w:t>
      </w:r>
    </w:p>
    <w:p w14:paraId="5CAD96FE" w14:textId="77777777" w:rsidR="00104D75" w:rsidRDefault="00463E71">
      <w:pPr>
        <w:spacing w:before="120" w:after="120"/>
        <w:rPr>
          <w:rFonts w:ascii="Calibri Light" w:hAnsi="Calibri Light" w:cs="Calibri Light"/>
          <w:color w:val="1F3A93"/>
        </w:rPr>
      </w:pPr>
      <w:r>
        <w:rPr>
          <w:rFonts w:ascii="Calibri Light" w:hAnsi="Calibri Light" w:cs="Calibri Light"/>
          <w:b/>
          <w:bCs/>
          <w:color w:val="1F3A93"/>
        </w:rPr>
        <w:t>Key Person Event</w:t>
      </w:r>
      <w:r>
        <w:rPr>
          <w:rFonts w:ascii="Calibri Light" w:hAnsi="Calibri Light" w:cs="Calibri Light"/>
          <w:color w:val="1F3A93"/>
        </w:rPr>
        <w:t xml:space="preserve"> has the meaning given in the Key Persons section.</w:t>
      </w:r>
    </w:p>
    <w:p w14:paraId="0A867335"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Key Persons</w:t>
      </w:r>
      <w:r>
        <w:rPr>
          <w:rFonts w:ascii="Calibri Light" w:hAnsi="Calibri Light" w:cs="Calibri Light"/>
          <w:color w:val="1F3A93"/>
        </w:rPr>
        <w:t xml:space="preserve"> has the meaning given in the Key Persons section, and Key Person means any of them.</w:t>
      </w:r>
    </w:p>
    <w:p w14:paraId="62FE5F11" w14:textId="77777777" w:rsidR="006F1463" w:rsidRPr="00EB59FD" w:rsidRDefault="00B93980" w:rsidP="006F1463">
      <w:pPr>
        <w:spacing w:before="120" w:after="120"/>
        <w:rPr>
          <w:rFonts w:ascii="Calibri Light" w:hAnsi="Calibri Light" w:cs="Calibri Light"/>
          <w:color w:val="1F3A93"/>
        </w:rPr>
      </w:pPr>
      <w:r>
        <w:rPr>
          <w:rFonts w:ascii="Calibri Light" w:hAnsi="Calibri Light" w:cs="Calibri Light"/>
          <w:b/>
          <w:bCs/>
          <w:color w:val="1F3A93"/>
        </w:rPr>
        <w:t>Limited Partner or LP</w:t>
      </w:r>
      <w:r>
        <w:rPr>
          <w:rFonts w:ascii="Calibri Light" w:hAnsi="Calibri Light" w:cs="Calibri Light"/>
          <w:color w:val="1F3A93"/>
        </w:rPr>
        <w:t xml:space="preserve"> A limited partner of the Fund.</w:t>
      </w:r>
    </w:p>
    <w:p w14:paraId="5391EC76"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Lock-Up Period</w:t>
      </w:r>
      <w:r>
        <w:rPr>
          <w:rFonts w:ascii="Calibri Light" w:hAnsi="Calibri Light" w:cs="Calibri Light"/>
          <w:color w:val="1F3A93"/>
        </w:rPr>
        <w:t xml:space="preserve"> has the meaning given in the GP Removal section.</w:t>
      </w:r>
    </w:p>
    <w:p w14:paraId="20294A2E"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LPA</w:t>
      </w:r>
      <w:r>
        <w:rPr>
          <w:rFonts w:ascii="Calibri Light" w:hAnsi="Calibri Light" w:cs="Calibri Light"/>
          <w:color w:val="1F3A93"/>
        </w:rPr>
        <w:t xml:space="preserve"> The limited partnership agreement governing the Fund.</w:t>
      </w:r>
    </w:p>
    <w:p w14:paraId="6B0F7BFC"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LPAC</w:t>
      </w:r>
      <w:r>
        <w:rPr>
          <w:rFonts w:ascii="Calibri Light" w:hAnsi="Calibri Light" w:cs="Calibri Light"/>
          <w:color w:val="1F3A93"/>
        </w:rPr>
        <w:t xml:space="preserve"> has the meaning given in the Advisory Committee section.</w:t>
      </w:r>
    </w:p>
    <w:p w14:paraId="4C145201"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Management Agreement</w:t>
      </w:r>
      <w:r>
        <w:rPr>
          <w:rFonts w:ascii="Calibri Light" w:hAnsi="Calibri Light" w:cs="Calibri Light"/>
          <w:color w:val="1F3A93"/>
        </w:rPr>
        <w:t xml:space="preserve"> has the meaning given in the Portfolio Manager section.</w:t>
      </w:r>
    </w:p>
    <w:p w14:paraId="429ADA16"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Management Fee</w:t>
      </w:r>
      <w:r>
        <w:rPr>
          <w:rFonts w:ascii="Calibri Light" w:hAnsi="Calibri Light" w:cs="Calibri Light"/>
          <w:color w:val="1F3A93"/>
        </w:rPr>
        <w:t xml:space="preserve"> has the meaning given in the Management Fee section.</w:t>
      </w:r>
    </w:p>
    <w:p w14:paraId="49AD6325"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MiFID II</w:t>
      </w:r>
      <w:r>
        <w:rPr>
          <w:rFonts w:ascii="Calibri Light" w:hAnsi="Calibri Light" w:cs="Calibri Light"/>
          <w:color w:val="1F3A93"/>
        </w:rPr>
        <w:t xml:space="preserve"> Directive 2014/65/EU of the European Parliament and of the Council on markets in financial instruments, as amended.</w:t>
      </w:r>
    </w:p>
    <w:p w14:paraId="1BC16486"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NAV</w:t>
      </w:r>
      <w:r>
        <w:rPr>
          <w:rFonts w:ascii="Calibri Light" w:hAnsi="Calibri Light" w:cs="Calibri Light"/>
          <w:color w:val="1F3A93"/>
        </w:rPr>
        <w:t xml:space="preserve"> Net asset value; the value of the Fund's or a Compartment's assets less its liabilities, calculated in accordance with the valuation policy.</w:t>
      </w:r>
    </w:p>
    <w:p w14:paraId="653A399A"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NDA</w:t>
      </w:r>
      <w:r>
        <w:rPr>
          <w:rFonts w:ascii="Calibri Light" w:hAnsi="Calibri Light" w:cs="Calibri Light"/>
          <w:color w:val="1F3A93"/>
        </w:rPr>
        <w:t xml:space="preserve"> has the meaning given in the Disclaimer at the front of this Term Sheet.</w:t>
      </w:r>
    </w:p>
    <w:p w14:paraId="05C0A962"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Ordinary Resolution</w:t>
      </w:r>
      <w:r>
        <w:rPr>
          <w:rFonts w:ascii="Calibri Light" w:hAnsi="Calibri Light" w:cs="Calibri Light"/>
          <w:color w:val="1F3A93"/>
        </w:rPr>
        <w:t xml:space="preserve"> A resolution of the Limited Partners passed by [[a simple majority]] of Commitments, excluding the General Partner and its affiliates.</w:t>
      </w:r>
    </w:p>
    <w:p w14:paraId="4B2EBF4F"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Partners</w:t>
      </w:r>
      <w:r>
        <w:rPr>
          <w:rFonts w:ascii="Calibri Light" w:hAnsi="Calibri Light" w:cs="Calibri Light"/>
          <w:color w:val="1F3A93"/>
        </w:rPr>
        <w:t xml:space="preserve"> The General Partner and the Limited Partners, and Partner means any of them.</w:t>
      </w:r>
    </w:p>
    <w:p w14:paraId="5B6E2811"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Portfolio Manager</w:t>
      </w:r>
      <w:r>
        <w:rPr>
          <w:rFonts w:ascii="Calibri Light" w:hAnsi="Calibri Light" w:cs="Calibri Light"/>
          <w:color w:val="1F3A93"/>
        </w:rPr>
        <w:t xml:space="preserve"> has the meaning given in the Portfolio Manager section.</w:t>
      </w:r>
    </w:p>
    <w:p w14:paraId="2C04035F"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PPM</w:t>
      </w:r>
      <w:r>
        <w:rPr>
          <w:rFonts w:ascii="Calibri Light" w:hAnsi="Calibri Light" w:cs="Calibri Light"/>
          <w:color w:val="1F3A93"/>
        </w:rPr>
        <w:t xml:space="preserve"> Private placement memorandum; the offering and disclosure document of the Fund (used for RAIFs; an unregulated SCS/SCSp is not required to issue a PPM; for SIFs, the equivalent document is the offering document (</w:t>
      </w:r>
      <w:r>
        <w:rPr>
          <w:rFonts w:ascii="Calibri Light" w:hAnsi="Calibri Light" w:cs="Calibri Light"/>
          <w:i/>
          <w:iCs/>
          <w:color w:val="1F3A93"/>
        </w:rPr>
        <w:t>document d'émission</w:t>
      </w:r>
      <w:r>
        <w:rPr>
          <w:rFonts w:ascii="Calibri Light" w:hAnsi="Calibri Light" w:cs="Calibri Light"/>
          <w:color w:val="1F3A93"/>
        </w:rPr>
        <w:t>) authorised by the CSSF).</w:t>
      </w:r>
    </w:p>
    <w:p w14:paraId="31021C45"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Preferred Return</w:t>
      </w:r>
      <w:r>
        <w:rPr>
          <w:rFonts w:ascii="Calibri Light" w:hAnsi="Calibri Light" w:cs="Calibri Light"/>
          <w:color w:val="1F3A93"/>
        </w:rPr>
        <w:t xml:space="preserve"> has the meaning given in the</w:t>
      </w:r>
      <w:r>
        <w:rPr>
          <w:color w:val="1F3A93"/>
        </w:rPr>
        <w:t xml:space="preserve"> </w:t>
      </w:r>
      <w:r>
        <w:rPr>
          <w:rFonts w:ascii="Calibri Light" w:hAnsi="Calibri Light" w:cs="Calibri Light"/>
          <w:color w:val="1F3A93"/>
        </w:rPr>
        <w:t>Carried Interest and Distributions section.</w:t>
      </w:r>
    </w:p>
    <w:p w14:paraId="390344DB"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RAIF</w:t>
      </w:r>
      <w:r>
        <w:rPr>
          <w:rFonts w:ascii="Calibri Light" w:hAnsi="Calibri Light" w:cs="Calibri Light"/>
          <w:color w:val="1F3A93"/>
        </w:rPr>
        <w:t xml:space="preserve"> A reserved alternative investment fund within the meaning of the RAIF Law.</w:t>
      </w:r>
    </w:p>
    <w:p w14:paraId="4D754B77"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RAIF Law</w:t>
      </w:r>
      <w:r>
        <w:rPr>
          <w:rFonts w:ascii="Calibri Light" w:hAnsi="Calibri Light" w:cs="Calibri Light"/>
          <w:color w:val="1F3A93"/>
        </w:rPr>
        <w:t xml:space="preserve"> The Luxembourg law of 23 July 2016 on reserved alternative investment funds, as amended.</w:t>
      </w:r>
    </w:p>
    <w:p w14:paraId="27DD0021"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Ramp-Up Period</w:t>
      </w:r>
      <w:r>
        <w:rPr>
          <w:rFonts w:ascii="Calibri Light" w:hAnsi="Calibri Light" w:cs="Calibri Light"/>
          <w:color w:val="1F3A93"/>
        </w:rPr>
        <w:t xml:space="preserve"> has the meaning given in the Ramp-Up Period section.</w:t>
      </w:r>
    </w:p>
    <w:p w14:paraId="645ABB0B"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RC</w:t>
      </w:r>
      <w:r>
        <w:rPr>
          <w:rFonts w:ascii="Calibri Light" w:hAnsi="Calibri Light" w:cs="Calibri Light"/>
          <w:color w:val="1F3A93"/>
        </w:rPr>
        <w:t xml:space="preserve"> The </w:t>
      </w:r>
      <w:r>
        <w:rPr>
          <w:rFonts w:ascii="Calibri Light" w:hAnsi="Calibri Light" w:cs="Calibri Light"/>
          <w:i/>
          <w:iCs/>
          <w:color w:val="1F3A93"/>
        </w:rPr>
        <w:t>responsable du contrôle</w:t>
      </w:r>
      <w:r>
        <w:rPr>
          <w:rFonts w:ascii="Calibri Light" w:hAnsi="Calibri Light" w:cs="Calibri Light"/>
          <w:color w:val="1F3A93"/>
        </w:rPr>
        <w:t>, the designated AML/CFT compliance officer of the AIFM or, for an unregulated SCS/SCSp, of the General Partner.</w:t>
      </w:r>
    </w:p>
    <w:p w14:paraId="07C672A9"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lastRenderedPageBreak/>
        <w:t>RR</w:t>
      </w:r>
      <w:r>
        <w:rPr>
          <w:rFonts w:ascii="Calibri Light" w:hAnsi="Calibri Light" w:cs="Calibri Light"/>
          <w:color w:val="1F3A93"/>
        </w:rPr>
        <w:t xml:space="preserve"> The </w:t>
      </w:r>
      <w:r>
        <w:rPr>
          <w:rFonts w:ascii="Calibri Light" w:hAnsi="Calibri Light" w:cs="Calibri Light"/>
          <w:i/>
          <w:iCs/>
          <w:color w:val="1F3A93"/>
        </w:rPr>
        <w:t>responsable du respect</w:t>
      </w:r>
      <w:r>
        <w:rPr>
          <w:rFonts w:ascii="Calibri Light" w:hAnsi="Calibri Light" w:cs="Calibri Light"/>
          <w:color w:val="1F3A93"/>
        </w:rPr>
        <w:t>, the board-level AML/CFT responsible person of the General Partner.</w:t>
      </w:r>
    </w:p>
    <w:p w14:paraId="632972D1"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SCS</w:t>
      </w:r>
      <w:r>
        <w:rPr>
          <w:rFonts w:ascii="Calibri Light" w:hAnsi="Calibri Light" w:cs="Calibri Light"/>
          <w:color w:val="1F3A93"/>
        </w:rPr>
        <w:t xml:space="preserve"> A </w:t>
      </w:r>
      <w:r>
        <w:rPr>
          <w:rFonts w:ascii="Calibri Light" w:hAnsi="Calibri Light" w:cs="Calibri Light"/>
          <w:i/>
          <w:iCs/>
          <w:color w:val="1F3A93"/>
        </w:rPr>
        <w:t>société en commandite simple</w:t>
      </w:r>
      <w:r>
        <w:rPr>
          <w:rFonts w:ascii="Calibri Light" w:hAnsi="Calibri Light" w:cs="Calibri Light"/>
          <w:color w:val="1F3A93"/>
        </w:rPr>
        <w:t>, a common limited partnership under the 1915 Law.</w:t>
      </w:r>
    </w:p>
    <w:p w14:paraId="4826A952"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SCSp</w:t>
      </w:r>
      <w:r>
        <w:rPr>
          <w:rFonts w:ascii="Calibri Light" w:hAnsi="Calibri Light" w:cs="Calibri Light"/>
          <w:color w:val="1F3A93"/>
        </w:rPr>
        <w:t xml:space="preserve"> A </w:t>
      </w:r>
      <w:r>
        <w:rPr>
          <w:rFonts w:ascii="Calibri Light" w:hAnsi="Calibri Light" w:cs="Calibri Light"/>
          <w:i/>
          <w:iCs/>
          <w:color w:val="1F3A93"/>
        </w:rPr>
        <w:t>société en commandite spéciale</w:t>
      </w:r>
      <w:r>
        <w:rPr>
          <w:rFonts w:ascii="Calibri Light" w:hAnsi="Calibri Light" w:cs="Calibri Light"/>
          <w:color w:val="1F3A93"/>
        </w:rPr>
        <w:t>, a special limited partnership under the 1915 Law.</w:t>
      </w:r>
    </w:p>
    <w:p w14:paraId="0E3A9020"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SFDR</w:t>
      </w:r>
      <w:r>
        <w:rPr>
          <w:rFonts w:ascii="Calibri Light" w:hAnsi="Calibri Light" w:cs="Calibri Light"/>
          <w:color w:val="1F3A93"/>
        </w:rPr>
        <w:t xml:space="preserve"> Regulation (EU) 2019/2088 of the European Parliament and of the Council on sustainability-related disclosures in the financial services sector.</w:t>
      </w:r>
    </w:p>
    <w:p w14:paraId="77B7CD39"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SICAR</w:t>
      </w:r>
      <w:r>
        <w:rPr>
          <w:rFonts w:ascii="Calibri Light" w:hAnsi="Calibri Light" w:cs="Calibri Light"/>
          <w:color w:val="1F3A93"/>
        </w:rPr>
        <w:t xml:space="preserve"> An investment company in risk capital within the meaning of the Luxembourg law of 15 June 2004 on investment companies in risk capital, as amended.</w:t>
      </w:r>
    </w:p>
    <w:p w14:paraId="61490D59"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SIF</w:t>
      </w:r>
      <w:r>
        <w:rPr>
          <w:rFonts w:ascii="Calibri Light" w:hAnsi="Calibri Light" w:cs="Calibri Light"/>
          <w:color w:val="1F3A93"/>
        </w:rPr>
        <w:t xml:space="preserve"> A specialised investment fund within the meaning of the SIF Law.</w:t>
      </w:r>
    </w:p>
    <w:p w14:paraId="4A920319"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SIF Law</w:t>
      </w:r>
      <w:r>
        <w:rPr>
          <w:rFonts w:ascii="Calibri Light" w:hAnsi="Calibri Light" w:cs="Calibri Light"/>
          <w:color w:val="1F3A93"/>
        </w:rPr>
        <w:t xml:space="preserve"> The Luxembourg law of 13 February 2007 on specialised investment funds, as amended.</w:t>
      </w:r>
    </w:p>
    <w:p w14:paraId="5E8DA1E8"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Subscription Agreement</w:t>
      </w:r>
      <w:r>
        <w:rPr>
          <w:rFonts w:ascii="Calibri Light" w:hAnsi="Calibri Light" w:cs="Calibri Light"/>
          <w:color w:val="1F3A93"/>
        </w:rPr>
        <w:t xml:space="preserve"> The agreement by which an Investor commits to the Fund and agrees to be bound by the LPA.</w:t>
      </w:r>
    </w:p>
    <w:p w14:paraId="7A893A96"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Subsequent Closing</w:t>
      </w:r>
      <w:r>
        <w:rPr>
          <w:rFonts w:ascii="Calibri Light" w:hAnsi="Calibri Light" w:cs="Calibri Light"/>
          <w:color w:val="1F3A93"/>
        </w:rPr>
        <w:t xml:space="preserve"> Any Closing occurring after the Initial Closing and on or before the Final Closing Date.</w:t>
      </w:r>
    </w:p>
    <w:p w14:paraId="7D998F9D"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Subsequent Investors</w:t>
      </w:r>
      <w:r>
        <w:rPr>
          <w:rFonts w:ascii="Calibri Light" w:hAnsi="Calibri Light" w:cs="Calibri Light"/>
          <w:color w:val="1F3A93"/>
        </w:rPr>
        <w:t xml:space="preserve"> has the meaning given in the Final Closing Date section.</w:t>
      </w:r>
    </w:p>
    <w:p w14:paraId="07277572" w14:textId="77777777" w:rsidR="00104D75" w:rsidRDefault="00463E71">
      <w:pPr>
        <w:spacing w:before="120" w:after="120"/>
        <w:rPr>
          <w:rFonts w:ascii="Calibri Light" w:hAnsi="Calibri Light" w:cs="Calibri Light"/>
          <w:color w:val="1F3A93"/>
        </w:rPr>
      </w:pPr>
      <w:r>
        <w:rPr>
          <w:rFonts w:ascii="Calibri Light" w:hAnsi="Calibri Light" w:cs="Calibri Light"/>
          <w:b/>
          <w:bCs/>
          <w:color w:val="1F3A93"/>
        </w:rPr>
        <w:t>Suspension Period</w:t>
      </w:r>
      <w:r>
        <w:rPr>
          <w:rFonts w:ascii="Calibri Light" w:hAnsi="Calibri Light" w:cs="Calibri Light"/>
          <w:color w:val="1F3A93"/>
        </w:rPr>
        <w:t xml:space="preserve"> Any period during which the Investment Period is suspended, including following a Key Person Event.</w:t>
      </w:r>
    </w:p>
    <w:p w14:paraId="0FD15030" w14:textId="77777777" w:rsidR="003E428A" w:rsidRDefault="00FF0C49">
      <w:pPr>
        <w:spacing w:before="120" w:after="120"/>
        <w:rPr>
          <w:rFonts w:ascii="Calibri Light" w:hAnsi="Calibri Light" w:cs="Calibri Light"/>
          <w:color w:val="1F3A93"/>
        </w:rPr>
      </w:pPr>
      <w:r>
        <w:rPr>
          <w:rFonts w:ascii="Calibri Light" w:hAnsi="Calibri Light" w:cs="Calibri Light"/>
          <w:b/>
          <w:bCs/>
          <w:color w:val="1F3A93"/>
        </w:rPr>
        <w:t>Tail Carry</w:t>
      </w:r>
      <w:r>
        <w:rPr>
          <w:rFonts w:ascii="Calibri Light" w:hAnsi="Calibri Light" w:cs="Calibri Light"/>
          <w:color w:val="1F3A93"/>
        </w:rPr>
        <w:t xml:space="preserve"> has the meaning given in the GP Removal section.</w:t>
      </w:r>
    </w:p>
    <w:p w14:paraId="6BFDF6A2"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Term</w:t>
      </w:r>
      <w:r>
        <w:rPr>
          <w:rFonts w:ascii="Calibri Light" w:hAnsi="Calibri Light" w:cs="Calibri Light"/>
          <w:color w:val="1F3A93"/>
        </w:rPr>
        <w:t xml:space="preserve"> The duration of the Fund or Compartment from the Initial Closing, subject to extension as described in the Fund / Compartment Term section.</w:t>
      </w:r>
    </w:p>
    <w:p w14:paraId="08EBA3B5"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US Person</w:t>
      </w:r>
      <w:r>
        <w:rPr>
          <w:rFonts w:ascii="Calibri Light" w:hAnsi="Calibri Light" w:cs="Calibri Light"/>
          <w:color w:val="1F3A93"/>
        </w:rPr>
        <w:t xml:space="preserve"> Any of the following, as defined in the US laws or regulations indicated: a "United States person" within the meaning of section 7701(a)(30) of the US Internal Revenue Code of 1986, as amended; a "U.S. person" as defined in Rule 902(k) of Regulation S under the US Securities Act of 1933, as amended; a person that is "in the United States" within the meaning of Rule 202(a)(30)-1 under the US Investment Advisers Act of 1940, as amended; or a person that does not qualify as a "Non-United States person" under Rule 4.7 of the US Commodity Futures Trading Commission.</w:t>
      </w:r>
    </w:p>
    <w:p w14:paraId="52F41E29"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Waterfall</w:t>
      </w:r>
      <w:r>
        <w:rPr>
          <w:rFonts w:ascii="Calibri Light" w:hAnsi="Calibri Light" w:cs="Calibri Light"/>
          <w:color w:val="1F3A93"/>
        </w:rPr>
        <w:t xml:space="preserve"> has the meaning given in the</w:t>
      </w:r>
      <w:r>
        <w:rPr>
          <w:color w:val="1F3A93"/>
        </w:rPr>
        <w:t xml:space="preserve"> </w:t>
      </w:r>
      <w:r>
        <w:rPr>
          <w:rFonts w:ascii="Calibri Light" w:hAnsi="Calibri Light" w:cs="Calibri Light"/>
          <w:color w:val="1F3A93"/>
        </w:rPr>
        <w:t>Carried Interest and Distributions section.</w:t>
      </w:r>
    </w:p>
    <w:p w14:paraId="7A35E8B4" w14:textId="77777777" w:rsidR="006F1463" w:rsidRPr="00EB59FD" w:rsidRDefault="006F1463" w:rsidP="006F1463">
      <w:pPr>
        <w:spacing w:before="120" w:after="120"/>
        <w:rPr>
          <w:rFonts w:ascii="Calibri Light" w:hAnsi="Calibri Light" w:cs="Calibri Light"/>
          <w:color w:val="1F3A93"/>
        </w:rPr>
      </w:pPr>
      <w:r>
        <w:rPr>
          <w:rFonts w:ascii="Calibri Light" w:hAnsi="Calibri Light" w:cs="Calibri Light"/>
          <w:b/>
          <w:bCs/>
          <w:color w:val="1F3A93"/>
        </w:rPr>
        <w:t>Well-Informed Investor</w:t>
      </w:r>
      <w:r>
        <w:rPr>
          <w:rFonts w:ascii="Calibri Light" w:hAnsi="Calibri Light" w:cs="Calibri Light"/>
          <w:color w:val="1F3A93"/>
        </w:rPr>
        <w:t xml:space="preserve"> For a RAIF: an investor meeting the criteria of Article 2 of the RAIF Law. For a SIF: an investor meeting the criteria of Article 2 of the SIF Law.</w:t>
      </w:r>
    </w:p>
    <w:p w14:paraId="012D2B1E" w14:textId="77777777" w:rsidR="006F1463" w:rsidRPr="006F1463" w:rsidRDefault="006F1463" w:rsidP="005F01A8">
      <w:pPr>
        <w:spacing w:before="120" w:after="120"/>
        <w:rPr>
          <w:rFonts w:ascii="Calibri Light" w:hAnsi="Calibri Light" w:cs="Calibri Light"/>
        </w:rPr>
      </w:pPr>
    </w:p>
    <w:sectPr w:rsidR="006F1463" w:rsidRPr="006F1463">
      <w:headerReference w:type="default" r:id="rId13"/>
      <w:footerReference w:type="default" r:id="rId14"/>
      <w:pgSz w:w="11906" w:h="16838"/>
      <w:pgMar w:top="1440" w:right="1440" w:bottom="1440" w:left="1800"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A53EA" w14:textId="77777777" w:rsidR="00231A54" w:rsidRDefault="00231A54">
      <w:r>
        <w:separator/>
      </w:r>
    </w:p>
  </w:endnote>
  <w:endnote w:type="continuationSeparator" w:id="0">
    <w:p w14:paraId="16BF9440" w14:textId="77777777" w:rsidR="00231A54" w:rsidRDefault="00231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Next">
    <w:altName w:val="Calibri"/>
    <w:charset w:val="00"/>
    <w:family w:val="swiss"/>
    <w:pitch w:val="variable"/>
    <w:sig w:usb0="8000002F" w:usb1="5000204A" w:usb2="00000000" w:usb3="00000000" w:csb0="0000009B"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0BA39" w14:textId="77777777" w:rsidR="00A1032E" w:rsidRPr="00950FF5" w:rsidRDefault="006A7509">
    <w:pPr>
      <w:pBdr>
        <w:top w:val="single" w:sz="8" w:space="0" w:color="B5974A"/>
      </w:pBdr>
      <w:tabs>
        <w:tab w:val="right" w:pos="9360"/>
      </w:tabs>
      <w:spacing w:before="120"/>
      <w:rPr>
        <w:rFonts w:ascii="Calibri Light" w:hAnsi="Calibri Light" w:cs="Calibri Light"/>
        <w:color w:val="auto"/>
      </w:rPr>
    </w:pPr>
    <w:r>
      <w:rPr>
        <w:rFonts w:ascii="Calibri Light" w:hAnsi="Calibri Light" w:cs="Calibri Light"/>
        <w:color w:val="auto"/>
        <w:sz w:val="16"/>
        <w:szCs w:val="16"/>
      </w:rPr>
      <w:t>Template Document — Not Legal Advice |</w:t>
    </w:r>
    <w:r w:rsidRPr="00950FF5">
      <w:rPr>
        <w:rFonts w:ascii="Calibri Light" w:hAnsi="Calibri Light" w:cs="Calibri Light"/>
        <w:color w:val="auto"/>
        <w:sz w:val="16"/>
        <w:szCs w:val="16"/>
      </w:rPr>
      <w:tab/>
      <w:t xml:space="preserve">Page </w:t>
    </w:r>
    <w:r w:rsidRPr="00950FF5">
      <w:rPr>
        <w:rFonts w:ascii="Calibri Light" w:hAnsi="Calibri Light" w:cs="Calibri Light"/>
        <w:color w:val="auto"/>
        <w:sz w:val="16"/>
        <w:szCs w:val="16"/>
      </w:rPr>
      <w:fldChar w:fldCharType="begin"/>
    </w:r>
    <w:r w:rsidRPr="00950FF5">
      <w:rPr>
        <w:rFonts w:ascii="Calibri Light" w:hAnsi="Calibri Light" w:cs="Calibri Light"/>
        <w:color w:val="auto"/>
        <w:sz w:val="16"/>
        <w:szCs w:val="16"/>
      </w:rPr>
      <w:instrText>PAGE</w:instrText>
    </w:r>
    <w:r w:rsidRPr="00950FF5">
      <w:rPr>
        <w:rFonts w:ascii="Calibri Light" w:hAnsi="Calibri Light" w:cs="Calibri Light"/>
        <w:color w:val="auto"/>
        <w:sz w:val="16"/>
        <w:szCs w:val="16"/>
      </w:rPr>
      <w:fldChar w:fldCharType="separate"/>
    </w:r>
    <w:r w:rsidR="00CE2531" w:rsidRPr="00950FF5">
      <w:rPr>
        <w:rFonts w:ascii="Calibri Light" w:hAnsi="Calibri Light" w:cs="Calibri Light"/>
        <w:noProof/>
        <w:color w:val="auto"/>
        <w:sz w:val="16"/>
        <w:szCs w:val="16"/>
      </w:rPr>
      <w:t>2</w:t>
    </w:r>
    <w:r w:rsidRPr="00950FF5">
      <w:rPr>
        <w:rFonts w:ascii="Calibri Light" w:hAnsi="Calibri Light" w:cs="Calibri Light"/>
        <w:color w:val="auto"/>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97867" w14:textId="77777777" w:rsidR="00231A54" w:rsidRDefault="00231A54">
      <w:r>
        <w:separator/>
      </w:r>
    </w:p>
  </w:footnote>
  <w:footnote w:type="continuationSeparator" w:id="0">
    <w:p w14:paraId="1977315C" w14:textId="77777777" w:rsidR="00231A54" w:rsidRDefault="00231A54">
      <w:r>
        <w:continuationSeparator/>
      </w:r>
    </w:p>
  </w:footnote>
  <w:footnote w:id="1">
    <w:p w14:paraId="56859B20" w14:textId="77777777" w:rsidR="00A1032E" w:rsidRPr="006A48CA" w:rsidRDefault="006A7509" w:rsidP="005F01A8">
      <w:pPr>
        <w:ind w:left="709" w:hanging="709"/>
        <w:rPr>
          <w:rFonts w:ascii="Calibri Light" w:hAnsi="Calibri Light" w:cs="Calibri Light"/>
        </w:rPr>
      </w:pPr>
      <w:r w:rsidRPr="006A48CA">
        <w:rPr>
          <w:rStyle w:val="FootnoteReference"/>
          <w:rFonts w:ascii="Calibri Light" w:hAnsi="Calibri Light" w:cs="Calibri Light"/>
        </w:rPr>
        <w:footnoteRef/>
      </w:r>
      <w:r w:rsidR="003A038F" w:rsidRPr="006A48CA">
        <w:rPr>
          <w:rFonts w:ascii="Calibri Light" w:hAnsi="Calibri Light" w:cs="Calibri Light"/>
          <w:sz w:val="16"/>
          <w:szCs w:val="16"/>
        </w:rPr>
        <w:tab/>
      </w:r>
      <w:r>
        <w:rPr>
          <w:rFonts w:ascii="Calibri Light" w:hAnsi="Calibri Light" w:cs="Calibri Light"/>
          <w:sz w:val="16"/>
          <w:szCs w:val="16"/>
        </w:rPr>
        <w:t>Subject to Article 2(2)(c) and (d) of the Law of 12 July 2013 on alternative investment fund managers (“AIFM Law”), a RAIF must be managed by an AIFM authorised under Chapter 2 of the AIFM Law, or by an AIFM established in another Member State within the meaning of Directive 2011/61/EU or in a third country and authorised under Chapter II of that Directive, subject to Article 66(3) of that Directive (Article 4(1) of the RAIF Law). The AIFM must be an external AIFM (Article 4(2) of the RAIF Law).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6A4B1" w14:textId="77777777" w:rsidR="00632F4B" w:rsidRDefault="00000000">
    <w:pPr>
      <w:pStyle w:val="Header"/>
    </w:pPr>
    <w:r>
      <w:rPr>
        <w:noProof/>
      </w:rPr>
      <w:pict w14:anchorId="4A8435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alt="" style="position:absolute;margin-left:0;margin-top:0;width:500pt;height:70pt;rotation:315;z-index:-251659264;mso-wrap-edited:f;mso-width-percent:0;mso-height-percent:0;mso-position-horizontal:center;mso-position-horizontal-relative:margin;mso-position-vertical:center;mso-position-vertical-relative:margin;mso-width-percent:0;mso-height-percent:0" o:allowincell="f" fillcolor="#b5974a" stroked="f">
          <v:fill opacity=".25"/>
          <v:textpath style="font-family:&quot;Calibri Light&quot;;font-size:1pt" string="DRAFT – LEROY &amp; GOLDBACH"/>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49EA1" w14:textId="77777777" w:rsidR="00A1032E" w:rsidRDefault="00000000">
    <w:pPr>
      <w:pBdr>
        <w:bottom w:val="single" w:sz="8" w:space="0" w:color="B5974A"/>
      </w:pBdr>
      <w:tabs>
        <w:tab w:val="right" w:pos="9360"/>
      </w:tabs>
      <w:spacing w:after="120"/>
    </w:pPr>
    <w:r>
      <w:rPr>
        <w:noProof/>
      </w:rPr>
      <w:pict w14:anchorId="32B4D5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alt="" style="position:absolute;margin-left:0;margin-top:0;width:500pt;height:70pt;rotation:315;z-index:-251658240;mso-wrap-edited:f;mso-width-percent:0;mso-height-percent:0;mso-position-horizontal:center;mso-position-horizontal-relative:margin;mso-position-vertical:center;mso-position-vertical-relative:margin;mso-width-percent:0;mso-height-percent:0" o:allowincell="f" fillcolor="#b5974a" stroked="f">
          <v:fill opacity=".25"/>
          <v:textpath style="font-family:&quot;Calibri Light&quot;;font-size:1pt" string="DRAFT – LEROY &amp; GOLDBACH"/>
          <w10:wrap anchorx="margin" anchory="margin"/>
        </v:shape>
      </w:pict>
    </w:r>
    <w:r w:rsidR="006A7509">
      <w:rPr>
        <w:b/>
        <w:bCs/>
        <w:color w:val="0D2240"/>
        <w:sz w:val="16"/>
        <w:szCs w:val="16"/>
      </w:rPr>
      <w:t>LEROY &amp; GOLDBACH</w:t>
    </w:r>
    <w:r w:rsidR="006A7509">
      <w:rPr>
        <w:sz w:val="16"/>
        <w:szCs w:val="16"/>
      </w:rPr>
      <w:tab/>
    </w:r>
    <w:r w:rsidR="006A7509">
      <w:rPr>
        <w:color w:val="6B7280"/>
        <w:sz w:val="16"/>
        <w:szCs w:val="16"/>
      </w:rPr>
      <w:t>GAMS | Alternative Fund Term Sheet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A3AB1"/>
    <w:multiLevelType w:val="hybridMultilevel"/>
    <w:tmpl w:val="174653F6"/>
    <w:lvl w:ilvl="0" w:tplc="01C063C0">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B92345"/>
    <w:multiLevelType w:val="multilevel"/>
    <w:tmpl w:val="8BF0E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2A92E3"/>
    <w:multiLevelType w:val="multilevel"/>
    <w:tmpl w:val="F578B73A"/>
    <w:lvl w:ilvl="0">
      <w:start w:val="1"/>
      <w:numFmt w:val="lowerLetter"/>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A5663DA"/>
    <w:multiLevelType w:val="hybridMultilevel"/>
    <w:tmpl w:val="174653F6"/>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B5F1CF7"/>
    <w:multiLevelType w:val="hybridMultilevel"/>
    <w:tmpl w:val="E6249F56"/>
    <w:lvl w:ilvl="0" w:tplc="0F4C20F2">
      <w:start w:val="1"/>
      <w:numFmt w:val="bullet"/>
      <w:lvlText w:val="●"/>
      <w:lvlJc w:val="left"/>
      <w:pPr>
        <w:ind w:left="720" w:hanging="360"/>
      </w:pPr>
    </w:lvl>
    <w:lvl w:ilvl="1" w:tplc="3DC87304">
      <w:start w:val="1"/>
      <w:numFmt w:val="bullet"/>
      <w:lvlText w:val="○"/>
      <w:lvlJc w:val="left"/>
      <w:pPr>
        <w:ind w:left="1440" w:hanging="360"/>
      </w:pPr>
    </w:lvl>
    <w:lvl w:ilvl="2" w:tplc="016C027C">
      <w:start w:val="1"/>
      <w:numFmt w:val="bullet"/>
      <w:lvlText w:val="■"/>
      <w:lvlJc w:val="left"/>
      <w:pPr>
        <w:ind w:left="2160" w:hanging="360"/>
      </w:pPr>
    </w:lvl>
    <w:lvl w:ilvl="3" w:tplc="8770464C">
      <w:start w:val="1"/>
      <w:numFmt w:val="bullet"/>
      <w:lvlText w:val="●"/>
      <w:lvlJc w:val="left"/>
      <w:pPr>
        <w:ind w:left="2880" w:hanging="360"/>
      </w:pPr>
    </w:lvl>
    <w:lvl w:ilvl="4" w:tplc="5A8E9098">
      <w:start w:val="1"/>
      <w:numFmt w:val="bullet"/>
      <w:lvlText w:val="○"/>
      <w:lvlJc w:val="left"/>
      <w:pPr>
        <w:ind w:left="3600" w:hanging="360"/>
      </w:pPr>
    </w:lvl>
    <w:lvl w:ilvl="5" w:tplc="A1FA6094">
      <w:start w:val="1"/>
      <w:numFmt w:val="bullet"/>
      <w:lvlText w:val="■"/>
      <w:lvlJc w:val="left"/>
      <w:pPr>
        <w:ind w:left="4320" w:hanging="360"/>
      </w:pPr>
    </w:lvl>
    <w:lvl w:ilvl="6" w:tplc="AD32E7CC">
      <w:start w:val="1"/>
      <w:numFmt w:val="bullet"/>
      <w:lvlText w:val="●"/>
      <w:lvlJc w:val="left"/>
      <w:pPr>
        <w:ind w:left="5040" w:hanging="360"/>
      </w:pPr>
    </w:lvl>
    <w:lvl w:ilvl="7" w:tplc="196ED8AC">
      <w:start w:val="1"/>
      <w:numFmt w:val="bullet"/>
      <w:lvlText w:val="●"/>
      <w:lvlJc w:val="left"/>
      <w:pPr>
        <w:ind w:left="5760" w:hanging="360"/>
      </w:pPr>
    </w:lvl>
    <w:lvl w:ilvl="8" w:tplc="F49CC7E0">
      <w:start w:val="1"/>
      <w:numFmt w:val="bullet"/>
      <w:lvlText w:val="●"/>
      <w:lvlJc w:val="left"/>
      <w:pPr>
        <w:ind w:left="6480" w:hanging="360"/>
      </w:pPr>
    </w:lvl>
  </w:abstractNum>
  <w:abstractNum w:abstractNumId="5" w15:restartNumberingAfterBreak="0">
    <w:nsid w:val="61F07614"/>
    <w:multiLevelType w:val="hybridMultilevel"/>
    <w:tmpl w:val="174653F6"/>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33286773">
    <w:abstractNumId w:val="4"/>
    <w:lvlOverride w:ilvl="0">
      <w:startOverride w:val="1"/>
    </w:lvlOverride>
  </w:num>
  <w:num w:numId="2" w16cid:durableId="1211842273">
    <w:abstractNumId w:val="2"/>
  </w:num>
  <w:num w:numId="3" w16cid:durableId="2016419100">
    <w:abstractNumId w:val="0"/>
  </w:num>
  <w:num w:numId="4" w16cid:durableId="834146634">
    <w:abstractNumId w:val="5"/>
  </w:num>
  <w:num w:numId="5" w16cid:durableId="1566407781">
    <w:abstractNumId w:val="3"/>
  </w:num>
  <w:num w:numId="6" w16cid:durableId="534998307">
    <w:abstractNumId w:val="1"/>
  </w:num>
  <w:num w:numId="7" w16cid:durableId="146359392">
    <w:abstractNumId w:val="3"/>
    <w:lvlOverride w:ilvl="0">
      <w:startOverride w:val="1"/>
    </w:lvlOverride>
  </w:num>
  <w:num w:numId="8" w16cid:durableId="716587549">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forms" w:enforcement="1" w:cryptProviderType="rsaAES" w:cryptAlgorithmClass="hash" w:cryptAlgorithmType="typeAny" w:cryptAlgorithmSid="14" w:cryptSpinCount="100000" w:hash="r0+uSWl9WEFamwhzv/LqAzn5k16ehzCvnroPl2xHylMagzi3trTbsDmlf+n+rk9svfJi48SiISFENIL7+7rCbA==" w:salt="C+2CIa0ooqbEaxJAiQVc3w=="/>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32E"/>
    <w:rsid w:val="000041A5"/>
    <w:rsid w:val="00015E03"/>
    <w:rsid w:val="00023A40"/>
    <w:rsid w:val="00036F1F"/>
    <w:rsid w:val="000440A8"/>
    <w:rsid w:val="00081940"/>
    <w:rsid w:val="00086644"/>
    <w:rsid w:val="00092147"/>
    <w:rsid w:val="000A017B"/>
    <w:rsid w:val="000A4738"/>
    <w:rsid w:val="000F5795"/>
    <w:rsid w:val="000F79D4"/>
    <w:rsid w:val="00104D75"/>
    <w:rsid w:val="0014671E"/>
    <w:rsid w:val="00146CAD"/>
    <w:rsid w:val="00167FDE"/>
    <w:rsid w:val="00183ECF"/>
    <w:rsid w:val="0019192E"/>
    <w:rsid w:val="001A48BB"/>
    <w:rsid w:val="001D0578"/>
    <w:rsid w:val="001E5BBC"/>
    <w:rsid w:val="002031B7"/>
    <w:rsid w:val="00203CE3"/>
    <w:rsid w:val="00231A54"/>
    <w:rsid w:val="0023378E"/>
    <w:rsid w:val="00284CDC"/>
    <w:rsid w:val="002C0A27"/>
    <w:rsid w:val="003276B0"/>
    <w:rsid w:val="003602F3"/>
    <w:rsid w:val="00372847"/>
    <w:rsid w:val="00391085"/>
    <w:rsid w:val="003A038F"/>
    <w:rsid w:val="003D5E9B"/>
    <w:rsid w:val="003E428A"/>
    <w:rsid w:val="003E75AE"/>
    <w:rsid w:val="003F6AA6"/>
    <w:rsid w:val="00415AA6"/>
    <w:rsid w:val="00463E71"/>
    <w:rsid w:val="004874E9"/>
    <w:rsid w:val="00496706"/>
    <w:rsid w:val="004D225D"/>
    <w:rsid w:val="004E3F8E"/>
    <w:rsid w:val="005065D9"/>
    <w:rsid w:val="00527A19"/>
    <w:rsid w:val="00550901"/>
    <w:rsid w:val="005A2404"/>
    <w:rsid w:val="005B0C1A"/>
    <w:rsid w:val="005E4C9D"/>
    <w:rsid w:val="005F01A8"/>
    <w:rsid w:val="005F4A57"/>
    <w:rsid w:val="00632F4B"/>
    <w:rsid w:val="006626AE"/>
    <w:rsid w:val="006A48CA"/>
    <w:rsid w:val="006A7509"/>
    <w:rsid w:val="006B658F"/>
    <w:rsid w:val="006D2BE9"/>
    <w:rsid w:val="006E5B16"/>
    <w:rsid w:val="006F1463"/>
    <w:rsid w:val="00713A21"/>
    <w:rsid w:val="0073162E"/>
    <w:rsid w:val="00762ADE"/>
    <w:rsid w:val="007865A9"/>
    <w:rsid w:val="007878A9"/>
    <w:rsid w:val="00791796"/>
    <w:rsid w:val="007A4886"/>
    <w:rsid w:val="007D425B"/>
    <w:rsid w:val="0080566C"/>
    <w:rsid w:val="0081179D"/>
    <w:rsid w:val="00821935"/>
    <w:rsid w:val="00824A76"/>
    <w:rsid w:val="00830EAC"/>
    <w:rsid w:val="00850150"/>
    <w:rsid w:val="00860BD6"/>
    <w:rsid w:val="00881952"/>
    <w:rsid w:val="00881A39"/>
    <w:rsid w:val="00890159"/>
    <w:rsid w:val="008957C3"/>
    <w:rsid w:val="00897B89"/>
    <w:rsid w:val="008A658B"/>
    <w:rsid w:val="008B0F8B"/>
    <w:rsid w:val="008C534D"/>
    <w:rsid w:val="008D0A5A"/>
    <w:rsid w:val="008F5071"/>
    <w:rsid w:val="00911F9A"/>
    <w:rsid w:val="009434FD"/>
    <w:rsid w:val="00950FF5"/>
    <w:rsid w:val="009878F2"/>
    <w:rsid w:val="009918EE"/>
    <w:rsid w:val="009B7F09"/>
    <w:rsid w:val="00A1032E"/>
    <w:rsid w:val="00A554A9"/>
    <w:rsid w:val="00A93441"/>
    <w:rsid w:val="00AA145B"/>
    <w:rsid w:val="00AA1729"/>
    <w:rsid w:val="00AC6404"/>
    <w:rsid w:val="00AE59B4"/>
    <w:rsid w:val="00B1249D"/>
    <w:rsid w:val="00B12B0A"/>
    <w:rsid w:val="00B2332A"/>
    <w:rsid w:val="00B23E20"/>
    <w:rsid w:val="00B30D41"/>
    <w:rsid w:val="00B83F1F"/>
    <w:rsid w:val="00B913DF"/>
    <w:rsid w:val="00B93980"/>
    <w:rsid w:val="00BD083E"/>
    <w:rsid w:val="00C037F3"/>
    <w:rsid w:val="00C36C3A"/>
    <w:rsid w:val="00C4557C"/>
    <w:rsid w:val="00C67395"/>
    <w:rsid w:val="00C76A87"/>
    <w:rsid w:val="00CA194C"/>
    <w:rsid w:val="00CB1380"/>
    <w:rsid w:val="00CC336E"/>
    <w:rsid w:val="00CC3DC4"/>
    <w:rsid w:val="00CC4646"/>
    <w:rsid w:val="00CE2531"/>
    <w:rsid w:val="00D31206"/>
    <w:rsid w:val="00D75CFA"/>
    <w:rsid w:val="00DB49EC"/>
    <w:rsid w:val="00DC7B71"/>
    <w:rsid w:val="00DD5123"/>
    <w:rsid w:val="00DE0DB3"/>
    <w:rsid w:val="00E05B39"/>
    <w:rsid w:val="00E34C06"/>
    <w:rsid w:val="00E477B4"/>
    <w:rsid w:val="00E4797F"/>
    <w:rsid w:val="00E51EB2"/>
    <w:rsid w:val="00EB59FD"/>
    <w:rsid w:val="00F12594"/>
    <w:rsid w:val="00F142FB"/>
    <w:rsid w:val="00F7769F"/>
    <w:rsid w:val="00FA1EC6"/>
    <w:rsid w:val="00FA54AD"/>
    <w:rsid w:val="00FA6E71"/>
    <w:rsid w:val="00FB1F6C"/>
    <w:rsid w:val="00FD18E6"/>
    <w:rsid w:val="00FE3A57"/>
    <w:rsid w:val="00FF0C49"/>
    <w:rsid w:val="0169996D"/>
    <w:rsid w:val="01F39070"/>
    <w:rsid w:val="0308CBF5"/>
    <w:rsid w:val="031AA1F0"/>
    <w:rsid w:val="0331A67A"/>
    <w:rsid w:val="0390D9FB"/>
    <w:rsid w:val="04E4344B"/>
    <w:rsid w:val="08F6C801"/>
    <w:rsid w:val="09C06D66"/>
    <w:rsid w:val="0CEFFD3C"/>
    <w:rsid w:val="0D30A934"/>
    <w:rsid w:val="0E8BD6A9"/>
    <w:rsid w:val="116CCF0F"/>
    <w:rsid w:val="1285E7DD"/>
    <w:rsid w:val="12B54A06"/>
    <w:rsid w:val="17E7F7E2"/>
    <w:rsid w:val="1AD12553"/>
    <w:rsid w:val="1BEF35DB"/>
    <w:rsid w:val="1D136B0B"/>
    <w:rsid w:val="1E15D066"/>
    <w:rsid w:val="214E951A"/>
    <w:rsid w:val="2185EF7C"/>
    <w:rsid w:val="22D6EF79"/>
    <w:rsid w:val="24D10358"/>
    <w:rsid w:val="2915C238"/>
    <w:rsid w:val="31042BF8"/>
    <w:rsid w:val="31BD4BB3"/>
    <w:rsid w:val="31F4C68D"/>
    <w:rsid w:val="323A1B67"/>
    <w:rsid w:val="33C7C35B"/>
    <w:rsid w:val="38C84100"/>
    <w:rsid w:val="3D18E0C4"/>
    <w:rsid w:val="3EC2E0C1"/>
    <w:rsid w:val="407E1F59"/>
    <w:rsid w:val="416172A9"/>
    <w:rsid w:val="479FEC54"/>
    <w:rsid w:val="4BEE3365"/>
    <w:rsid w:val="4C362F9A"/>
    <w:rsid w:val="4E542F29"/>
    <w:rsid w:val="4F2FF9A7"/>
    <w:rsid w:val="4F4E6EA5"/>
    <w:rsid w:val="52F53CC4"/>
    <w:rsid w:val="54C5B628"/>
    <w:rsid w:val="55188E00"/>
    <w:rsid w:val="55486AAF"/>
    <w:rsid w:val="557C5679"/>
    <w:rsid w:val="55D66513"/>
    <w:rsid w:val="55F8FAA9"/>
    <w:rsid w:val="568B2C23"/>
    <w:rsid w:val="5F4E1C4A"/>
    <w:rsid w:val="647A504C"/>
    <w:rsid w:val="65582EBE"/>
    <w:rsid w:val="65AB738C"/>
    <w:rsid w:val="6842DC7E"/>
    <w:rsid w:val="690DD86D"/>
    <w:rsid w:val="6B75A333"/>
    <w:rsid w:val="6D1F28E8"/>
    <w:rsid w:val="6D5E9675"/>
    <w:rsid w:val="6FA2409C"/>
    <w:rsid w:val="72BB8C57"/>
    <w:rsid w:val="737CB33D"/>
    <w:rsid w:val="7399C718"/>
    <w:rsid w:val="73DA82FA"/>
    <w:rsid w:val="7A505CC8"/>
    <w:rsid w:val="7D4563DF"/>
    <w:rsid w:val="7EB4B1A6"/>
    <w:rsid w:val="7F020E42"/>
    <w:rsid w:val="7FB51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992B6C"/>
  <w15:docId w15:val="{51CA8B09-CC9B-4D21-9271-639DA9A47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Next" w:eastAsia="Avenir Next" w:hAnsi="Avenir Next" w:cs="Avenir Next"/>
        <w:color w:val="1A1A1A"/>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00" w:after="120"/>
      <w:outlineLvl w:val="0"/>
    </w:pPr>
    <w:rPr>
      <w:b/>
      <w:bCs/>
      <w:color w:val="0D2240"/>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Revision">
    <w:name w:val="Revision"/>
    <w:hidden/>
    <w:uiPriority w:val="99"/>
    <w:semiHidden/>
    <w:rsid w:val="00FD18E6"/>
  </w:style>
  <w:style w:type="character" w:customStyle="1" w:styleId="fontstyle01">
    <w:name w:val="fontstyle01"/>
    <w:basedOn w:val="DefaultParagraphFont"/>
    <w:uiPriority w:val="1"/>
    <w:rsid w:val="00FD18E6"/>
    <w:rPr>
      <w:rFonts w:asciiTheme="minorHAnsi" w:eastAsia="Times New Roman" w:hAnsiTheme="minorHAnsi" w:cstheme="minorBidi"/>
      <w:b w:val="0"/>
      <w:bCs w:val="0"/>
      <w:i w:val="0"/>
      <w:iCs w:val="0"/>
      <w:color w:val="0D1533"/>
      <w:sz w:val="20"/>
      <w:szCs w:val="20"/>
    </w:rPr>
  </w:style>
  <w:style w:type="paragraph" w:styleId="NormalWeb">
    <w:name w:val="Normal (Web)"/>
    <w:basedOn w:val="Normal"/>
    <w:uiPriority w:val="99"/>
    <w:semiHidden/>
    <w:unhideWhenUsed/>
    <w:rsid w:val="001D0578"/>
    <w:rPr>
      <w:rFonts w:ascii="Times New Roman" w:hAnsi="Times New Roman" w:cs="Times New Roman"/>
      <w:sz w:val="24"/>
      <w:szCs w:val="24"/>
    </w:rPr>
  </w:style>
  <w:style w:type="paragraph" w:styleId="Header">
    <w:name w:val="header"/>
    <w:basedOn w:val="Normal"/>
    <w:link w:val="HeaderChar"/>
    <w:uiPriority w:val="99"/>
    <w:unhideWhenUsed/>
    <w:rsid w:val="00950FF5"/>
    <w:pPr>
      <w:tabs>
        <w:tab w:val="center" w:pos="4680"/>
        <w:tab w:val="right" w:pos="9360"/>
      </w:tabs>
    </w:pPr>
  </w:style>
  <w:style w:type="character" w:customStyle="1" w:styleId="HeaderChar">
    <w:name w:val="Header Char"/>
    <w:basedOn w:val="DefaultParagraphFont"/>
    <w:link w:val="Header"/>
    <w:uiPriority w:val="99"/>
    <w:rsid w:val="00950FF5"/>
  </w:style>
  <w:style w:type="paragraph" w:styleId="Footer">
    <w:name w:val="footer"/>
    <w:basedOn w:val="Normal"/>
    <w:link w:val="FooterChar"/>
    <w:uiPriority w:val="99"/>
    <w:unhideWhenUsed/>
    <w:rsid w:val="00950FF5"/>
    <w:pPr>
      <w:tabs>
        <w:tab w:val="center" w:pos="4680"/>
        <w:tab w:val="right" w:pos="9360"/>
      </w:tabs>
    </w:pPr>
  </w:style>
  <w:style w:type="character" w:customStyle="1" w:styleId="FooterChar">
    <w:name w:val="Footer Char"/>
    <w:basedOn w:val="DefaultParagraphFont"/>
    <w:link w:val="Footer"/>
    <w:uiPriority w:val="99"/>
    <w:rsid w:val="00950FF5"/>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C534D"/>
    <w:rPr>
      <w:b/>
      <w:bCs/>
    </w:rPr>
  </w:style>
  <w:style w:type="character" w:customStyle="1" w:styleId="CommentSubjectChar">
    <w:name w:val="Comment Subject Char"/>
    <w:basedOn w:val="CommentTextChar"/>
    <w:link w:val="CommentSubject"/>
    <w:uiPriority w:val="99"/>
    <w:semiHidden/>
    <w:rsid w:val="008C53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B0EC94CFA7EB4A8E08BF62A9596076" ma:contentTypeVersion="11" ma:contentTypeDescription="Create a new document." ma:contentTypeScope="" ma:versionID="12a6e78a226be8dd53715820d079f5b5">
  <xsd:schema xmlns:xsd="http://www.w3.org/2001/XMLSchema" xmlns:xs="http://www.w3.org/2001/XMLSchema" xmlns:p="http://schemas.microsoft.com/office/2006/metadata/properties" xmlns:ns2="c5d37aa8-6033-4633-9fd2-7075cc25ca58" xmlns:ns3="042bac52-eac7-485a-bd36-0250ffdf927c" targetNamespace="http://schemas.microsoft.com/office/2006/metadata/properties" ma:root="true" ma:fieldsID="0eff0c1e660e60dd4e04fde282d24c56" ns2:_="" ns3:_="">
    <xsd:import namespace="c5d37aa8-6033-4633-9fd2-7075cc25ca58"/>
    <xsd:import namespace="042bac52-eac7-485a-bd36-0250ffdf92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37aa8-6033-4633-9fd2-7075cc25c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c9ef1be-d643-4ecc-9474-0bf4f9c2335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2bac52-eac7-485a-bd36-0250ffdf927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f7de741-ad2a-429d-bb93-53c778503524}" ma:internalName="TaxCatchAll" ma:showField="CatchAllData" ma:web="042bac52-eac7-485a-bd36-0250ffdf92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42bac52-eac7-485a-bd36-0250ffdf927c" xsi:nil="true"/>
    <lcf76f155ced4ddcb4097134ff3c332f xmlns="c5d37aa8-6033-4633-9fd2-7075cc25ca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AB6C9D-3568-4443-8AA6-6D1BE8AF7196}">
  <ds:schemaRefs>
    <ds:schemaRef ds:uri="http://schemas.microsoft.com/sharepoint/v3/contenttype/forms"/>
  </ds:schemaRefs>
</ds:datastoreItem>
</file>

<file path=customXml/itemProps2.xml><?xml version="1.0" encoding="utf-8"?>
<ds:datastoreItem xmlns:ds="http://schemas.openxmlformats.org/officeDocument/2006/customXml" ds:itemID="{42C5D16D-7C7F-44C7-95E0-E11B12E86A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37aa8-6033-4633-9fd2-7075cc25ca58"/>
    <ds:schemaRef ds:uri="042bac52-eac7-485a-bd36-0250ffdf9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ED2179-8079-4ABD-AC52-AEB2139D821D}">
  <ds:schemaRefs>
    <ds:schemaRef ds:uri="http://schemas.openxmlformats.org/officeDocument/2006/bibliography"/>
  </ds:schemaRefs>
</ds:datastoreItem>
</file>

<file path=customXml/itemProps4.xml><?xml version="1.0" encoding="utf-8"?>
<ds:datastoreItem xmlns:ds="http://schemas.openxmlformats.org/officeDocument/2006/customXml" ds:itemID="{6BA220FB-E976-4369-9BEB-493225162741}">
  <ds:schemaRefs>
    <ds:schemaRef ds:uri="http://schemas.microsoft.com/office/2006/metadata/properties"/>
    <ds:schemaRef ds:uri="http://schemas.microsoft.com/office/infopath/2007/PartnerControls"/>
    <ds:schemaRef ds:uri="042bac52-eac7-485a-bd36-0250ffdf927c"/>
    <ds:schemaRef ds:uri="c5d37aa8-6033-4633-9fd2-7075cc25ca5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18913</Words>
  <Characters>107807</Characters>
  <Application>Microsoft Office Word</Application>
  <DocSecurity>0</DocSecurity>
  <Lines>898</Lines>
  <Paragraphs>252</Paragraphs>
  <ScaleCrop>false</ScaleCrop>
  <Company/>
  <LinksUpToDate>false</LinksUpToDate>
  <CharactersWithSpaces>126468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Virginie Leroy</dc:creator>
  <cp:keywords/>
  <dc:description/>
  <cp:lastModifiedBy>Leroy &amp; Goldbach</cp:lastModifiedBy>
  <cp:revision>3</cp:revision>
  <dcterms:created xsi:type="dcterms:W3CDTF">2026-09-25T14:09:00Z</dcterms:created>
  <dcterms:modified xsi:type="dcterms:W3CDTF">2026-09-29T13:39:00Z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0x0101009BB0EC94CFA7EB4A8E08BF62A9596076</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