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8FF37" w14:textId="77777777" w:rsidR="00EC45B1" w:rsidRDefault="00000000">
      <w:pPr>
        <w:spacing w:before="2000" w:after="60"/>
        <w:jc w:val="center"/>
        <w:rPr>
          <w:lang w:val="fr-FR"/>
        </w:rPr>
      </w:pPr>
      <w:r>
        <w:rPr>
          <w:b/>
          <w:bCs/>
          <w:sz w:val="44"/>
          <w:szCs w:val="44"/>
          <w:lang w:val="fr-FR"/>
        </w:rPr>
        <w:t>Articles of Incorporation</w:t>
      </w:r>
    </w:p>
    <w:p w14:paraId="7B439DD2" w14:textId="77777777" w:rsidR="00EC45B1" w:rsidRDefault="00000000">
      <w:pPr>
        <w:spacing w:after="40"/>
        <w:jc w:val="center"/>
        <w:rPr>
          <w:sz w:val="26"/>
          <w:szCs w:val="26"/>
          <w:lang w:val="fr-FR"/>
        </w:rPr>
      </w:pPr>
      <w:r>
        <w:rPr>
          <w:sz w:val="26"/>
          <w:szCs w:val="26"/>
          <w:lang w:val="fr-FR"/>
        </w:rPr>
        <w:t xml:space="preserve">Limited </w:t>
      </w:r>
      <w:proofErr w:type="spellStart"/>
      <w:r>
        <w:rPr>
          <w:sz w:val="26"/>
          <w:szCs w:val="26"/>
          <w:lang w:val="fr-FR"/>
        </w:rPr>
        <w:t>liability</w:t>
      </w:r>
      <w:proofErr w:type="spellEnd"/>
      <w:r>
        <w:rPr>
          <w:sz w:val="26"/>
          <w:szCs w:val="26"/>
          <w:lang w:val="fr-FR"/>
        </w:rPr>
        <w:t xml:space="preserve"> </w:t>
      </w:r>
      <w:proofErr w:type="spellStart"/>
      <w:r>
        <w:rPr>
          <w:sz w:val="26"/>
          <w:szCs w:val="26"/>
          <w:lang w:val="fr-FR"/>
        </w:rPr>
        <w:t>company</w:t>
      </w:r>
      <w:proofErr w:type="spellEnd"/>
      <w:r>
        <w:rPr>
          <w:sz w:val="26"/>
          <w:szCs w:val="26"/>
          <w:lang w:val="fr-FR"/>
        </w:rPr>
        <w:t xml:space="preserve"> </w:t>
      </w:r>
    </w:p>
    <w:p w14:paraId="6C0A6E02" w14:textId="43111CB1" w:rsidR="00EC45B1" w:rsidRDefault="00000000">
      <w:pPr>
        <w:spacing w:after="40"/>
        <w:jc w:val="center"/>
        <w:rPr>
          <w:lang w:val="fr-FR"/>
        </w:rPr>
      </w:pPr>
      <w:r>
        <w:rPr>
          <w:sz w:val="26"/>
          <w:szCs w:val="26"/>
          <w:lang w:val="fr-FR"/>
        </w:rPr>
        <w:t>(</w:t>
      </w:r>
      <w:r w:rsidR="009F31F7" w:rsidRPr="009F31F7">
        <w:rPr>
          <w:i/>
          <w:iCs/>
          <w:sz w:val="26"/>
          <w:szCs w:val="26"/>
          <w:lang w:val="fr-FR"/>
        </w:rPr>
        <w:t>Société</w:t>
      </w:r>
      <w:r w:rsidRPr="009F31F7">
        <w:rPr>
          <w:i/>
          <w:iCs/>
          <w:sz w:val="26"/>
          <w:szCs w:val="26"/>
          <w:lang w:val="fr-FR"/>
        </w:rPr>
        <w:t xml:space="preserve"> à responsabilité limitée – </w:t>
      </w:r>
      <w:proofErr w:type="spellStart"/>
      <w:r w:rsidRPr="009F31F7">
        <w:rPr>
          <w:i/>
          <w:iCs/>
          <w:sz w:val="26"/>
          <w:szCs w:val="26"/>
          <w:lang w:val="fr-FR"/>
        </w:rPr>
        <w:t>S.à</w:t>
      </w:r>
      <w:proofErr w:type="spellEnd"/>
      <w:r w:rsidRPr="009F31F7">
        <w:rPr>
          <w:i/>
          <w:iCs/>
          <w:sz w:val="26"/>
          <w:szCs w:val="26"/>
          <w:lang w:val="fr-FR"/>
        </w:rPr>
        <w:t xml:space="preserve"> </w:t>
      </w:r>
      <w:proofErr w:type="spellStart"/>
      <w:r w:rsidRPr="009F31F7">
        <w:rPr>
          <w:i/>
          <w:iCs/>
          <w:sz w:val="26"/>
          <w:szCs w:val="26"/>
          <w:lang w:val="fr-FR"/>
        </w:rPr>
        <w:t>r.l</w:t>
      </w:r>
      <w:proofErr w:type="spellEnd"/>
      <w:r w:rsidRPr="009F31F7">
        <w:rPr>
          <w:i/>
          <w:iCs/>
          <w:sz w:val="26"/>
          <w:szCs w:val="26"/>
          <w:lang w:val="fr-FR"/>
        </w:rPr>
        <w:t>.</w:t>
      </w:r>
      <w:r>
        <w:rPr>
          <w:sz w:val="26"/>
          <w:szCs w:val="26"/>
          <w:lang w:val="fr-FR"/>
        </w:rPr>
        <w:t>)</w:t>
      </w:r>
    </w:p>
    <w:p w14:paraId="672B3225" w14:textId="77777777" w:rsidR="00EC45B1" w:rsidRDefault="00000000">
      <w:pPr>
        <w:spacing w:after="100"/>
        <w:jc w:val="center"/>
      </w:pPr>
      <w:r>
        <w:rPr>
          <w:sz w:val="22"/>
          <w:szCs w:val="22"/>
        </w:rPr>
        <w:t>English &amp; French versions</w:t>
      </w:r>
    </w:p>
    <w:p w14:paraId="7F2F932C" w14:textId="77777777" w:rsidR="00EC45B1" w:rsidRDefault="00EC45B1">
      <w:pPr>
        <w:pBdr>
          <w:bottom w:val="single" w:sz="6" w:space="1" w:color="1A1A1A"/>
        </w:pBdr>
        <w:spacing w:after="500"/>
      </w:pPr>
    </w:p>
    <w:p w14:paraId="5F2E081A" w14:textId="77777777" w:rsidR="00EC45B1" w:rsidRDefault="00000000">
      <w:pPr>
        <w:spacing w:after="600"/>
        <w:jc w:val="center"/>
      </w:pPr>
      <w:r>
        <w:rPr>
          <w:i/>
          <w:iCs/>
          <w:sz w:val="26"/>
          <w:szCs w:val="26"/>
        </w:rPr>
        <w:t>GAMS Incorporation Working Group</w:t>
      </w:r>
      <w:r>
        <w:br w:type="page" w:clear="all"/>
      </w:r>
    </w:p>
    <w:p w14:paraId="03F9B6E0" w14:textId="77777777" w:rsidR="00EC45B1" w:rsidRDefault="00000000">
      <w:pPr>
        <w:widowControl w:val="0"/>
        <w:pBdr>
          <w:top w:val="single" w:sz="4" w:space="1" w:color="000000"/>
          <w:left w:val="single" w:sz="4" w:space="4" w:color="000000"/>
          <w:bottom w:val="single" w:sz="4" w:space="1" w:color="000000"/>
          <w:right w:val="single" w:sz="4" w:space="4" w:color="000000"/>
        </w:pBdr>
        <w:contextualSpacing/>
        <w:jc w:val="center"/>
        <w:rPr>
          <w:rFonts w:cstheme="minorHAnsi"/>
          <w:b/>
          <w:lang w:val="en-GB"/>
        </w:rPr>
      </w:pPr>
      <w:r>
        <w:rPr>
          <w:rFonts w:cstheme="minorHAnsi"/>
          <w:b/>
          <w:lang w:val="en-GB"/>
        </w:rPr>
        <w:lastRenderedPageBreak/>
        <w:t>INCORPORATION OF S.A R.L. – ENGLISH &amp; FRENCH VERSIONS</w:t>
      </w:r>
    </w:p>
    <w:p w14:paraId="1DE9524B" w14:textId="77777777" w:rsidR="00EC45B1" w:rsidRDefault="00EC45B1">
      <w:pPr>
        <w:widowControl w:val="0"/>
        <w:ind w:firstLine="426"/>
        <w:contextualSpacing/>
        <w:jc w:val="both"/>
        <w:rPr>
          <w:rFonts w:cstheme="minorHAnsi"/>
          <w:lang w:val="en-GB"/>
        </w:rPr>
      </w:pPr>
    </w:p>
    <w:p w14:paraId="1B06D373" w14:textId="77777777" w:rsidR="00EC45B1" w:rsidRPr="009F31F7" w:rsidRDefault="00000000">
      <w:pPr>
        <w:widowControl w:val="0"/>
        <w:contextualSpacing/>
        <w:jc w:val="both"/>
        <w:rPr>
          <w:rFonts w:cstheme="minorHAnsi"/>
          <w:sz w:val="22"/>
          <w:szCs w:val="22"/>
          <w:lang w:val="en-GB"/>
        </w:rPr>
      </w:pPr>
      <w:r w:rsidRPr="009F31F7">
        <w:rPr>
          <w:rFonts w:cstheme="minorHAnsi"/>
          <w:sz w:val="22"/>
          <w:szCs w:val="22"/>
          <w:lang w:val="en-GB"/>
        </w:rPr>
        <w:t>The year [</w:t>
      </w:r>
      <w:r w:rsidRPr="009F31F7">
        <w:rPr>
          <w:rFonts w:cstheme="minorHAnsi"/>
          <w:sz w:val="22"/>
          <w:szCs w:val="22"/>
          <w:highlight w:val="yellow"/>
          <w:lang w:val="en-GB"/>
        </w:rPr>
        <w:t>year in letters</w:t>
      </w:r>
      <w:r w:rsidRPr="009F31F7">
        <w:rPr>
          <w:rFonts w:cstheme="minorHAnsi"/>
          <w:sz w:val="22"/>
          <w:szCs w:val="22"/>
          <w:lang w:val="en-GB"/>
        </w:rPr>
        <w:t>], the [</w:t>
      </w:r>
      <w:r w:rsidRPr="009F31F7">
        <w:rPr>
          <w:rFonts w:cstheme="minorHAnsi"/>
          <w:sz w:val="22"/>
          <w:szCs w:val="22"/>
          <w:highlight w:val="yellow"/>
          <w:lang w:val="en-GB"/>
        </w:rPr>
        <w:t>day and month in letters</w:t>
      </w:r>
      <w:r w:rsidRPr="009F31F7">
        <w:rPr>
          <w:rFonts w:cstheme="minorHAnsi"/>
          <w:sz w:val="22"/>
          <w:szCs w:val="22"/>
          <w:lang w:val="en-GB"/>
        </w:rPr>
        <w:t>].</w:t>
      </w:r>
    </w:p>
    <w:p w14:paraId="6FEAB233" w14:textId="77777777" w:rsidR="00EC45B1" w:rsidRPr="009F31F7" w:rsidRDefault="00000000">
      <w:pPr>
        <w:widowControl w:val="0"/>
        <w:contextualSpacing/>
        <w:jc w:val="both"/>
        <w:rPr>
          <w:rFonts w:cstheme="minorHAnsi"/>
          <w:sz w:val="22"/>
          <w:szCs w:val="22"/>
          <w:lang w:val="en-GB"/>
        </w:rPr>
      </w:pPr>
      <w:r w:rsidRPr="009F31F7">
        <w:rPr>
          <w:rFonts w:cstheme="minorHAnsi"/>
          <w:sz w:val="22"/>
          <w:szCs w:val="22"/>
          <w:lang w:val="en-GB"/>
        </w:rPr>
        <w:t xml:space="preserve">Before Us, </w:t>
      </w:r>
      <w:r w:rsidRPr="009F31F7">
        <w:rPr>
          <w:rFonts w:cstheme="minorHAnsi"/>
          <w:b/>
          <w:bCs/>
          <w:sz w:val="22"/>
          <w:szCs w:val="22"/>
          <w:lang w:val="en-GB"/>
        </w:rPr>
        <w:t>Maître [</w:t>
      </w:r>
      <w:r w:rsidRPr="009F31F7">
        <w:rPr>
          <w:rFonts w:cstheme="minorHAnsi"/>
          <w:b/>
          <w:bCs/>
          <w:sz w:val="22"/>
          <w:szCs w:val="22"/>
          <w:highlight w:val="yellow"/>
          <w:lang w:val="en-GB"/>
        </w:rPr>
        <w:t>notary’s name</w:t>
      </w:r>
      <w:r w:rsidRPr="009F31F7">
        <w:rPr>
          <w:rFonts w:cstheme="minorHAnsi"/>
          <w:b/>
          <w:bCs/>
          <w:sz w:val="22"/>
          <w:szCs w:val="22"/>
          <w:lang w:val="en-GB"/>
        </w:rPr>
        <w:t>]</w:t>
      </w:r>
      <w:r w:rsidRPr="009F31F7">
        <w:rPr>
          <w:rFonts w:cstheme="minorHAnsi"/>
          <w:sz w:val="22"/>
          <w:szCs w:val="22"/>
          <w:lang w:val="en-GB"/>
        </w:rPr>
        <w:t>, notary of residence in [</w:t>
      </w:r>
      <w:r w:rsidRPr="009F31F7">
        <w:rPr>
          <w:rFonts w:cstheme="minorHAnsi"/>
          <w:sz w:val="22"/>
          <w:szCs w:val="22"/>
          <w:highlight w:val="yellow"/>
          <w:lang w:val="en-GB"/>
        </w:rPr>
        <w:t>notarial office’s address</w:t>
      </w:r>
      <w:r w:rsidRPr="009F31F7">
        <w:rPr>
          <w:rFonts w:cstheme="minorHAnsi"/>
          <w:sz w:val="22"/>
          <w:szCs w:val="22"/>
          <w:lang w:val="en-GB"/>
        </w:rPr>
        <w:t>], Grand Duchy of Luxembourg.</w:t>
      </w:r>
    </w:p>
    <w:p w14:paraId="19C33D0D" w14:textId="77777777" w:rsidR="00EC45B1" w:rsidRPr="009F31F7" w:rsidRDefault="00EC45B1">
      <w:pPr>
        <w:widowControl w:val="0"/>
        <w:contextualSpacing/>
        <w:jc w:val="both"/>
        <w:rPr>
          <w:rFonts w:cstheme="minorHAnsi"/>
          <w:b/>
          <w:sz w:val="22"/>
          <w:szCs w:val="22"/>
          <w:lang w:val="en-GB"/>
        </w:rPr>
      </w:pPr>
    </w:p>
    <w:p w14:paraId="7209CC33" w14:textId="77777777" w:rsidR="00EC45B1" w:rsidRPr="009F31F7" w:rsidRDefault="00000000">
      <w:pPr>
        <w:widowControl w:val="0"/>
        <w:contextualSpacing/>
        <w:jc w:val="both"/>
        <w:rPr>
          <w:rFonts w:cstheme="minorHAnsi"/>
          <w:sz w:val="22"/>
          <w:szCs w:val="22"/>
          <w:lang w:val="en-GB"/>
        </w:rPr>
      </w:pPr>
      <w:r w:rsidRPr="009F31F7">
        <w:rPr>
          <w:rFonts w:cstheme="minorHAnsi"/>
          <w:b/>
          <w:sz w:val="22"/>
          <w:szCs w:val="22"/>
          <w:lang w:val="en-GB"/>
        </w:rPr>
        <w:t>HAVE APPEARED</w:t>
      </w:r>
      <w:r w:rsidRPr="009F31F7">
        <w:rPr>
          <w:rFonts w:cstheme="minorHAnsi"/>
          <w:sz w:val="22"/>
          <w:szCs w:val="22"/>
          <w:lang w:val="en-GB"/>
        </w:rPr>
        <w:t>:</w:t>
      </w:r>
    </w:p>
    <w:p w14:paraId="7CEBAE5E" w14:textId="77777777" w:rsidR="00EC45B1" w:rsidRPr="009F31F7" w:rsidRDefault="00EC45B1">
      <w:pPr>
        <w:widowControl w:val="0"/>
        <w:contextualSpacing/>
        <w:jc w:val="both"/>
        <w:rPr>
          <w:rFonts w:cstheme="minorHAnsi"/>
          <w:sz w:val="22"/>
          <w:szCs w:val="22"/>
          <w:lang w:val="en-GB"/>
        </w:rPr>
      </w:pPr>
    </w:p>
    <w:p w14:paraId="788D5770" w14:textId="77777777" w:rsidR="00EC45B1" w:rsidRPr="009F31F7" w:rsidRDefault="00000000">
      <w:pPr>
        <w:pStyle w:val="ListParagraph"/>
        <w:widowControl w:val="0"/>
        <w:numPr>
          <w:ilvl w:val="0"/>
          <w:numId w:val="4"/>
        </w:numPr>
        <w:ind w:left="426" w:hanging="284"/>
        <w:jc w:val="both"/>
        <w:rPr>
          <w:rFonts w:cstheme="minorHAnsi"/>
          <w:sz w:val="22"/>
          <w:szCs w:val="22"/>
          <w:lang w:val="en-GB"/>
        </w:rPr>
      </w:pPr>
      <w:r w:rsidRPr="009F31F7">
        <w:rPr>
          <w:rFonts w:cstheme="minorHAnsi"/>
          <w:b/>
          <w:sz w:val="22"/>
          <w:szCs w:val="22"/>
        </w:rPr>
        <w:t>[</w:t>
      </w:r>
      <w:r w:rsidRPr="009F31F7">
        <w:rPr>
          <w:rFonts w:cstheme="minorHAnsi"/>
          <w:b/>
          <w:sz w:val="22"/>
          <w:szCs w:val="22"/>
          <w:highlight w:val="yellow"/>
        </w:rPr>
        <w:t>name of the partner</w:t>
      </w:r>
      <w:r w:rsidRPr="009F31F7">
        <w:rPr>
          <w:rStyle w:val="FootnoteReference"/>
          <w:rFonts w:cstheme="minorHAnsi"/>
          <w:b/>
          <w:sz w:val="22"/>
          <w:szCs w:val="22"/>
        </w:rPr>
        <w:footnoteReference w:id="1"/>
      </w:r>
      <w:r w:rsidRPr="009F31F7">
        <w:rPr>
          <w:rFonts w:cstheme="minorHAnsi"/>
          <w:b/>
          <w:sz w:val="22"/>
          <w:szCs w:val="22"/>
        </w:rPr>
        <w:t>]</w:t>
      </w:r>
      <w:r w:rsidRPr="009F31F7">
        <w:rPr>
          <w:rFonts w:cstheme="minorHAnsi"/>
          <w:sz w:val="22"/>
          <w:szCs w:val="22"/>
        </w:rPr>
        <w:t xml:space="preserve">, </w:t>
      </w:r>
      <w:r w:rsidRPr="009F31F7">
        <w:rPr>
          <w:rFonts w:cstheme="minorHAnsi"/>
          <w:sz w:val="22"/>
          <w:szCs w:val="22"/>
          <w:lang w:val="en-GB" w:eastAsia="zh-CN"/>
        </w:rPr>
        <w:t xml:space="preserve">a </w:t>
      </w:r>
      <w:r w:rsidRPr="009F31F7">
        <w:rPr>
          <w:rFonts w:cstheme="minorHAnsi"/>
          <w:i/>
          <w:sz w:val="22"/>
          <w:szCs w:val="22"/>
          <w:lang w:val="en-GB" w:eastAsia="zh-CN"/>
        </w:rPr>
        <w:t>[</w:t>
      </w:r>
      <w:r w:rsidRPr="009F31F7">
        <w:rPr>
          <w:rFonts w:cstheme="minorHAnsi"/>
          <w:i/>
          <w:sz w:val="22"/>
          <w:szCs w:val="22"/>
          <w:highlight w:val="yellow"/>
          <w:lang w:val="en-GB" w:eastAsia="zh-CN"/>
        </w:rPr>
        <w:t>legal form</w:t>
      </w:r>
      <w:r w:rsidRPr="009F31F7">
        <w:rPr>
          <w:rFonts w:cstheme="minorHAnsi"/>
          <w:i/>
          <w:sz w:val="22"/>
          <w:szCs w:val="22"/>
          <w:lang w:val="en-GB" w:eastAsia="zh-CN"/>
        </w:rPr>
        <w:t xml:space="preserve"> </w:t>
      </w:r>
      <w:r w:rsidRPr="009F31F7">
        <w:rPr>
          <w:rFonts w:cstheme="minorHAnsi"/>
          <w:i/>
          <w:sz w:val="22"/>
          <w:szCs w:val="22"/>
          <w:highlight w:val="yellow"/>
          <w:lang w:val="en-GB" w:eastAsia="zh-CN"/>
        </w:rPr>
        <w:t>if corporate</w:t>
      </w:r>
      <w:r w:rsidRPr="009F31F7">
        <w:rPr>
          <w:rFonts w:cstheme="minorHAnsi"/>
          <w:i/>
          <w:sz w:val="22"/>
          <w:szCs w:val="22"/>
          <w:lang w:val="en-GB" w:eastAsia="zh-CN"/>
        </w:rPr>
        <w:t>]</w:t>
      </w:r>
      <w:r w:rsidRPr="009F31F7">
        <w:rPr>
          <w:rFonts w:cstheme="minorHAnsi"/>
          <w:sz w:val="22"/>
          <w:szCs w:val="22"/>
          <w:lang w:val="en-GB" w:eastAsia="zh-CN"/>
        </w:rPr>
        <w:t xml:space="preserve"> incorporated and existing under the laws of [</w:t>
      </w:r>
      <w:r w:rsidRPr="009F31F7">
        <w:rPr>
          <w:rFonts w:cstheme="minorHAnsi"/>
          <w:sz w:val="22"/>
          <w:szCs w:val="22"/>
          <w:highlight w:val="yellow"/>
          <w:lang w:val="en-GB" w:eastAsia="zh-CN"/>
        </w:rPr>
        <w:t>country</w:t>
      </w:r>
      <w:r w:rsidRPr="009F31F7">
        <w:rPr>
          <w:rFonts w:cstheme="minorHAnsi"/>
          <w:sz w:val="22"/>
          <w:szCs w:val="22"/>
          <w:lang w:val="en-GB" w:eastAsia="zh-CN"/>
        </w:rPr>
        <w:t xml:space="preserve">], </w:t>
      </w:r>
      <w:r w:rsidRPr="009F31F7">
        <w:rPr>
          <w:rFonts w:cstheme="minorHAnsi"/>
          <w:sz w:val="22"/>
          <w:szCs w:val="22"/>
          <w:lang w:val="en-GB"/>
        </w:rPr>
        <w:t>registered with the [</w:t>
      </w:r>
      <w:r w:rsidRPr="009F31F7">
        <w:rPr>
          <w:rFonts w:cstheme="minorHAnsi"/>
          <w:sz w:val="22"/>
          <w:szCs w:val="22"/>
          <w:highlight w:val="yellow"/>
          <w:lang w:val="en-GB"/>
        </w:rPr>
        <w:t>name of the country’s trade register</w:t>
      </w:r>
      <w:r w:rsidRPr="009F31F7">
        <w:rPr>
          <w:rFonts w:cstheme="minorHAnsi"/>
          <w:sz w:val="22"/>
          <w:szCs w:val="22"/>
          <w:lang w:val="en-GB"/>
        </w:rPr>
        <w:t>] under number [</w:t>
      </w:r>
      <w:r w:rsidRPr="009F31F7">
        <w:rPr>
          <w:rFonts w:cstheme="minorHAnsi"/>
          <w:sz w:val="22"/>
          <w:szCs w:val="22"/>
          <w:highlight w:val="yellow"/>
          <w:lang w:val="en-GB"/>
        </w:rPr>
        <w:t>corporate registration number</w:t>
      </w:r>
      <w:r w:rsidRPr="009F31F7">
        <w:rPr>
          <w:rFonts w:cstheme="minorHAnsi"/>
          <w:sz w:val="22"/>
          <w:szCs w:val="22"/>
          <w:lang w:val="en-GB"/>
        </w:rPr>
        <w:t>], having its registered office at [</w:t>
      </w:r>
      <w:r w:rsidRPr="009F31F7">
        <w:rPr>
          <w:rFonts w:cstheme="minorHAnsi"/>
          <w:sz w:val="22"/>
          <w:szCs w:val="22"/>
          <w:highlight w:val="yellow"/>
          <w:lang w:val="en-GB"/>
        </w:rPr>
        <w:t>full address – street, number, postal code, city, country</w:t>
      </w:r>
      <w:r w:rsidRPr="009F31F7">
        <w:rPr>
          <w:rFonts w:cstheme="minorHAnsi"/>
          <w:sz w:val="22"/>
          <w:szCs w:val="22"/>
          <w:lang w:val="en-GB"/>
        </w:rPr>
        <w:t>]</w:t>
      </w:r>
      <w:r w:rsidRPr="009F31F7">
        <w:rPr>
          <w:rFonts w:cstheme="minorHAnsi"/>
          <w:sz w:val="22"/>
          <w:szCs w:val="22"/>
        </w:rPr>
        <w:t>,</w:t>
      </w:r>
    </w:p>
    <w:p w14:paraId="6160574D" w14:textId="77777777" w:rsidR="00EC45B1" w:rsidRPr="009F31F7" w:rsidRDefault="00000000">
      <w:pPr>
        <w:pStyle w:val="ListParagraph"/>
        <w:widowControl w:val="0"/>
        <w:numPr>
          <w:ilvl w:val="0"/>
          <w:numId w:val="4"/>
        </w:numPr>
        <w:ind w:left="426" w:hanging="284"/>
        <w:jc w:val="both"/>
        <w:rPr>
          <w:rFonts w:cstheme="minorHAnsi"/>
          <w:sz w:val="22"/>
          <w:szCs w:val="22"/>
          <w:lang w:val="en-GB"/>
        </w:rPr>
      </w:pPr>
      <w:r w:rsidRPr="009F31F7">
        <w:rPr>
          <w:rFonts w:cstheme="minorHAnsi"/>
          <w:b/>
          <w:sz w:val="22"/>
          <w:szCs w:val="22"/>
        </w:rPr>
        <w:t>[</w:t>
      </w:r>
      <w:r w:rsidRPr="009F31F7">
        <w:rPr>
          <w:rFonts w:cstheme="minorHAnsi"/>
          <w:b/>
          <w:sz w:val="22"/>
          <w:szCs w:val="22"/>
          <w:highlight w:val="yellow"/>
        </w:rPr>
        <w:t>name of the partner</w:t>
      </w:r>
      <w:r w:rsidRPr="009F31F7">
        <w:rPr>
          <w:rFonts w:cstheme="minorHAnsi"/>
          <w:b/>
          <w:sz w:val="22"/>
          <w:szCs w:val="22"/>
        </w:rPr>
        <w:t>]</w:t>
      </w:r>
      <w:r w:rsidRPr="009F31F7">
        <w:rPr>
          <w:rFonts w:cstheme="minorHAnsi"/>
          <w:sz w:val="22"/>
          <w:szCs w:val="22"/>
        </w:rPr>
        <w:t>, …</w:t>
      </w:r>
      <w:r w:rsidRPr="009F31F7">
        <w:rPr>
          <w:rFonts w:cstheme="minorHAnsi"/>
          <w:b/>
          <w:sz w:val="22"/>
          <w:szCs w:val="22"/>
          <w:lang w:val="en-GB"/>
        </w:rPr>
        <w:t xml:space="preserve">, </w:t>
      </w:r>
    </w:p>
    <w:p w14:paraId="4802094D" w14:textId="77777777" w:rsidR="00EC45B1" w:rsidRPr="009F31F7" w:rsidRDefault="00000000">
      <w:pPr>
        <w:pStyle w:val="ListParagraph"/>
        <w:widowControl w:val="0"/>
        <w:numPr>
          <w:ilvl w:val="0"/>
          <w:numId w:val="4"/>
        </w:numPr>
        <w:ind w:left="426" w:hanging="284"/>
        <w:jc w:val="both"/>
        <w:rPr>
          <w:rFonts w:cstheme="minorHAnsi"/>
          <w:sz w:val="22"/>
          <w:szCs w:val="22"/>
          <w:lang w:val="en-GB"/>
        </w:rPr>
      </w:pPr>
      <w:r w:rsidRPr="009F31F7">
        <w:rPr>
          <w:rFonts w:cstheme="minorHAnsi"/>
          <w:b/>
          <w:sz w:val="22"/>
          <w:szCs w:val="22"/>
        </w:rPr>
        <w:t>[</w:t>
      </w:r>
      <w:r w:rsidRPr="009F31F7">
        <w:rPr>
          <w:rFonts w:cstheme="minorHAnsi"/>
          <w:b/>
          <w:sz w:val="22"/>
          <w:szCs w:val="22"/>
          <w:highlight w:val="yellow"/>
        </w:rPr>
        <w:t>name of the partner</w:t>
      </w:r>
      <w:r w:rsidRPr="009F31F7">
        <w:rPr>
          <w:rFonts w:cstheme="minorHAnsi"/>
          <w:b/>
          <w:sz w:val="22"/>
          <w:szCs w:val="22"/>
        </w:rPr>
        <w:t>]</w:t>
      </w:r>
      <w:r w:rsidRPr="009F31F7">
        <w:rPr>
          <w:rFonts w:cstheme="minorHAnsi"/>
          <w:sz w:val="22"/>
          <w:szCs w:val="22"/>
        </w:rPr>
        <w:t>, …</w:t>
      </w:r>
      <w:r w:rsidRPr="009F31F7">
        <w:rPr>
          <w:rFonts w:cstheme="minorHAnsi"/>
          <w:b/>
          <w:sz w:val="22"/>
          <w:szCs w:val="22"/>
          <w:lang w:val="en-GB"/>
        </w:rPr>
        <w:t xml:space="preserve">, </w:t>
      </w:r>
    </w:p>
    <w:p w14:paraId="112BB122" w14:textId="77777777" w:rsidR="00EC45B1" w:rsidRPr="009F31F7" w:rsidRDefault="00EC45B1">
      <w:pPr>
        <w:pStyle w:val="ListParagraph"/>
        <w:widowControl w:val="0"/>
        <w:ind w:left="426"/>
        <w:jc w:val="both"/>
        <w:rPr>
          <w:rFonts w:cstheme="minorHAnsi"/>
          <w:sz w:val="22"/>
          <w:szCs w:val="22"/>
          <w:lang w:val="en-GB"/>
        </w:rPr>
      </w:pPr>
    </w:p>
    <w:p w14:paraId="543716E1" w14:textId="77777777" w:rsidR="00EC45B1" w:rsidRPr="009F31F7" w:rsidRDefault="00000000">
      <w:pPr>
        <w:widowControl w:val="0"/>
        <w:contextualSpacing/>
        <w:jc w:val="both"/>
        <w:rPr>
          <w:rFonts w:cstheme="minorHAnsi"/>
          <w:sz w:val="22"/>
          <w:szCs w:val="22"/>
          <w:lang w:val="en-GB"/>
        </w:rPr>
      </w:pPr>
      <w:r w:rsidRPr="009F31F7">
        <w:rPr>
          <w:rFonts w:cstheme="minorHAnsi"/>
          <w:sz w:val="22"/>
          <w:szCs w:val="22"/>
          <w:lang w:val="en-GB"/>
        </w:rPr>
        <w:t>Which appearing parties, represented as specified above, have requested the notary to incorporate a limited liability company with the following articles:</w:t>
      </w:r>
    </w:p>
    <w:p w14:paraId="6075920C" w14:textId="77777777" w:rsidR="00EC45B1" w:rsidRDefault="00000000">
      <w:pPr>
        <w:pStyle w:val="AoALevel1ABC"/>
        <w:keepNext w:val="0"/>
        <w:widowControl w:val="0"/>
        <w:numPr>
          <w:ilvl w:val="0"/>
          <w:numId w:val="18"/>
        </w:numPr>
        <w:pBdr>
          <w:bottom w:val="single" w:sz="6" w:space="4" w:color="1F4E5F"/>
        </w:pBdr>
        <w:tabs>
          <w:tab w:val="clear" w:pos="680"/>
          <w:tab w:val="left" w:pos="284"/>
        </w:tabs>
        <w:spacing w:before="360" w:after="240"/>
        <w:ind w:left="677" w:hanging="677"/>
        <w:contextualSpacing/>
        <w:rPr>
          <w:rFonts w:cstheme="minorHAnsi"/>
          <w:lang w:val="en-GB"/>
        </w:rPr>
      </w:pPr>
      <w:r>
        <w:rPr>
          <w:rFonts w:cstheme="minorHAnsi"/>
          <w:lang w:val="en-GB"/>
        </w:rPr>
        <w:t>CORPORATE NAME - CORPORATE OBJECT - DURATION - REGISTERED OFFICE</w:t>
      </w:r>
    </w:p>
    <w:p w14:paraId="1970CE2C" w14:textId="77777777" w:rsidR="00EC45B1" w:rsidRDefault="00000000">
      <w:pPr>
        <w:pStyle w:val="AoALevel2Article1"/>
        <w:keepNext w:val="0"/>
        <w:widowControl w:val="0"/>
        <w:numPr>
          <w:ilvl w:val="1"/>
          <w:numId w:val="19"/>
        </w:numPr>
        <w:spacing w:before="120" w:after="0"/>
        <w:ind w:left="1987" w:hanging="1987"/>
        <w:contextualSpacing/>
        <w:rPr>
          <w:rFonts w:cstheme="minorHAnsi"/>
        </w:rPr>
      </w:pPr>
      <w:r>
        <w:rPr>
          <w:rFonts w:cstheme="minorHAnsi"/>
        </w:rPr>
        <w:t xml:space="preserve"> Corporate name - Form</w:t>
      </w:r>
    </w:p>
    <w:p w14:paraId="17A23279" w14:textId="77777777" w:rsidR="00EC45B1" w:rsidRDefault="00000000">
      <w:pPr>
        <w:widowControl w:val="0"/>
        <w:tabs>
          <w:tab w:val="left" w:pos="1134"/>
        </w:tabs>
        <w:contextualSpacing/>
        <w:jc w:val="both"/>
        <w:rPr>
          <w:rFonts w:cstheme="minorHAnsi"/>
          <w:lang w:val="en-GB"/>
        </w:rPr>
      </w:pPr>
      <w:r>
        <w:rPr>
          <w:rFonts w:cstheme="minorHAnsi"/>
          <w:lang w:val="en-GB"/>
        </w:rPr>
        <w:t>T</w:t>
      </w:r>
      <w:r>
        <w:rPr>
          <w:rFonts w:cstheme="minorHAnsi"/>
          <w:bCs/>
          <w:sz w:val="22"/>
          <w:szCs w:val="22"/>
          <w:lang w:val="en-GB"/>
        </w:rPr>
        <w:t>here exists a limited liability company under the name of " </w:t>
      </w:r>
      <w:r>
        <w:rPr>
          <w:rFonts w:cstheme="minorHAnsi"/>
          <w:bCs/>
          <w:sz w:val="22"/>
          <w:szCs w:val="22"/>
          <w:shd w:val="clear" w:color="auto" w:fill="FFFF00"/>
          <w:lang w:val="en-GB"/>
        </w:rPr>
        <w:t>XXX</w:t>
      </w:r>
      <w:r>
        <w:rPr>
          <w:rFonts w:cstheme="minorHAnsi"/>
          <w:bCs/>
          <w:sz w:val="22"/>
          <w:szCs w:val="22"/>
          <w:lang w:val="en-GB"/>
        </w:rPr>
        <w:t xml:space="preserve"> </w:t>
      </w:r>
      <w:proofErr w:type="spellStart"/>
      <w:r>
        <w:rPr>
          <w:rFonts w:cstheme="minorHAnsi"/>
          <w:bCs/>
          <w:sz w:val="22"/>
          <w:szCs w:val="22"/>
          <w:lang w:val="en-GB"/>
        </w:rPr>
        <w:t>S.à</w:t>
      </w:r>
      <w:proofErr w:type="spellEnd"/>
      <w:r>
        <w:rPr>
          <w:rFonts w:cstheme="minorHAnsi"/>
          <w:bCs/>
          <w:sz w:val="22"/>
          <w:szCs w:val="22"/>
          <w:lang w:val="en-GB"/>
        </w:rPr>
        <w:t xml:space="preserve"> </w:t>
      </w:r>
      <w:proofErr w:type="spellStart"/>
      <w:r>
        <w:rPr>
          <w:rFonts w:cstheme="minorHAnsi"/>
          <w:bCs/>
          <w:sz w:val="22"/>
          <w:szCs w:val="22"/>
          <w:lang w:val="en-GB"/>
        </w:rPr>
        <w:t>r.l</w:t>
      </w:r>
      <w:proofErr w:type="spellEnd"/>
      <w:r>
        <w:rPr>
          <w:rFonts w:cstheme="minorHAnsi"/>
          <w:bCs/>
          <w:sz w:val="22"/>
          <w:szCs w:val="22"/>
          <w:lang w:val="en-GB"/>
        </w:rPr>
        <w:t xml:space="preserve">. " (hereinafter the " Company ") which will be governed by the law of August 10, </w:t>
      </w:r>
      <w:proofErr w:type="gramStart"/>
      <w:r>
        <w:rPr>
          <w:rFonts w:cstheme="minorHAnsi"/>
          <w:bCs/>
          <w:sz w:val="22"/>
          <w:szCs w:val="22"/>
          <w:lang w:val="en-GB"/>
        </w:rPr>
        <w:t>1915</w:t>
      </w:r>
      <w:proofErr w:type="gramEnd"/>
      <w:r>
        <w:rPr>
          <w:rFonts w:cstheme="minorHAnsi"/>
          <w:bCs/>
          <w:sz w:val="22"/>
          <w:szCs w:val="22"/>
          <w:lang w:val="en-GB"/>
        </w:rPr>
        <w:t xml:space="preserve"> on commercial companies, as amended (the " Law "), as well as by these articles. </w:t>
      </w:r>
    </w:p>
    <w:p w14:paraId="4477002F" w14:textId="77777777" w:rsidR="00EC45B1" w:rsidRDefault="00000000">
      <w:pPr>
        <w:pStyle w:val="AoALevel2Article1"/>
        <w:keepNext w:val="0"/>
        <w:widowControl w:val="0"/>
        <w:numPr>
          <w:ilvl w:val="1"/>
          <w:numId w:val="20"/>
        </w:numPr>
        <w:tabs>
          <w:tab w:val="left" w:pos="1473"/>
        </w:tabs>
        <w:spacing w:before="120" w:after="0"/>
        <w:ind w:left="1987" w:hanging="1987"/>
        <w:contextualSpacing/>
        <w:rPr>
          <w:rFonts w:cstheme="minorHAnsi"/>
        </w:rPr>
      </w:pPr>
      <w:r>
        <w:rPr>
          <w:rFonts w:cstheme="minorHAnsi"/>
        </w:rPr>
        <w:t xml:space="preserve"> Corporate object</w:t>
      </w:r>
      <w:r>
        <w:rPr>
          <w:rStyle w:val="FootnoteReference"/>
          <w:rFonts w:cstheme="minorHAnsi"/>
        </w:rPr>
        <w:footnoteReference w:id="2"/>
      </w:r>
    </w:p>
    <w:p w14:paraId="244ED5B4" w14:textId="77777777" w:rsidR="00EC45B1" w:rsidRDefault="00000000">
      <w:pPr>
        <w:widowControl w:val="0"/>
        <w:tabs>
          <w:tab w:val="left" w:pos="1134"/>
        </w:tabs>
        <w:contextualSpacing/>
        <w:jc w:val="both"/>
        <w:rPr>
          <w:rFonts w:cstheme="minorHAnsi"/>
          <w:b/>
          <w:bCs/>
          <w:i/>
          <w:iCs/>
          <w:lang w:val="en-GB"/>
        </w:rPr>
      </w:pPr>
      <w:r>
        <w:rPr>
          <w:rFonts w:cstheme="minorHAnsi"/>
          <w:b/>
          <w:bCs/>
          <w:i/>
          <w:iCs/>
          <w:highlight w:val="cyan"/>
          <w:lang w:val="en-GB"/>
        </w:rPr>
        <w:t>Examples of corporate object</w:t>
      </w:r>
      <w:r>
        <w:rPr>
          <w:rFonts w:cstheme="minorHAnsi"/>
          <w:b/>
          <w:bCs/>
          <w:i/>
          <w:iCs/>
          <w:lang w:val="en-GB"/>
        </w:rPr>
        <w:t>:</w:t>
      </w:r>
    </w:p>
    <w:p w14:paraId="7F6930EE" w14:textId="77777777" w:rsidR="00EC45B1" w:rsidRDefault="00EC45B1">
      <w:pPr>
        <w:widowControl w:val="0"/>
        <w:tabs>
          <w:tab w:val="left" w:pos="1134"/>
        </w:tabs>
        <w:contextualSpacing/>
        <w:jc w:val="both"/>
        <w:rPr>
          <w:rFonts w:cstheme="minorHAnsi"/>
          <w:i/>
          <w:iCs/>
          <w:lang w:val="en-GB"/>
        </w:rPr>
      </w:pPr>
    </w:p>
    <w:p w14:paraId="018712CD" w14:textId="77777777" w:rsidR="00EC45B1" w:rsidRDefault="00000000">
      <w:pPr>
        <w:widowControl w:val="0"/>
        <w:tabs>
          <w:tab w:val="left" w:pos="1134"/>
        </w:tabs>
        <w:contextualSpacing/>
        <w:jc w:val="both"/>
        <w:rPr>
          <w:rFonts w:cstheme="minorHAnsi"/>
          <w:i/>
          <w:iCs/>
          <w:lang w:val="en-GB"/>
        </w:rPr>
      </w:pPr>
      <w:r>
        <w:rPr>
          <w:rFonts w:cstheme="minorHAnsi"/>
          <w:i/>
          <w:iCs/>
          <w:highlight w:val="cyan"/>
          <w:lang w:val="en-GB"/>
        </w:rPr>
        <w:t>Purpose to be customised:</w:t>
      </w:r>
    </w:p>
    <w:p w14:paraId="35E8EB29" w14:textId="77777777" w:rsidR="00EC45B1" w:rsidRDefault="00000000">
      <w:pPr>
        <w:pStyle w:val="AoALevel3Article11"/>
        <w:widowControl w:val="0"/>
        <w:numPr>
          <w:ilvl w:val="2"/>
          <w:numId w:val="21"/>
        </w:numPr>
        <w:spacing w:after="0"/>
        <w:ind w:left="426" w:hanging="426"/>
        <w:contextualSpacing/>
        <w:rPr>
          <w:rFonts w:cstheme="minorHAnsi"/>
        </w:rPr>
      </w:pPr>
      <w:r>
        <w:rPr>
          <w:rFonts w:cstheme="minorHAnsi"/>
        </w:rPr>
        <w:t>The Company's object is [</w:t>
      </w:r>
      <w:r>
        <w:rPr>
          <w:rFonts w:cstheme="minorHAnsi"/>
          <w:highlight w:val="yellow"/>
        </w:rPr>
        <w:t>description of the corporate object</w:t>
      </w:r>
      <w:r>
        <w:rPr>
          <w:rFonts w:cstheme="minorHAnsi"/>
        </w:rPr>
        <w:t>].</w:t>
      </w:r>
    </w:p>
    <w:p w14:paraId="43924F93" w14:textId="77777777" w:rsidR="00EC45B1" w:rsidRDefault="00000000">
      <w:pPr>
        <w:pStyle w:val="AoALevel3Article11"/>
        <w:widowControl w:val="0"/>
        <w:numPr>
          <w:ilvl w:val="2"/>
          <w:numId w:val="22"/>
        </w:numPr>
        <w:spacing w:after="0"/>
        <w:ind w:left="426" w:hanging="426"/>
        <w:contextualSpacing/>
        <w:rPr>
          <w:rFonts w:cstheme="minorHAnsi"/>
        </w:rPr>
      </w:pPr>
      <w:r>
        <w:rPr>
          <w:rFonts w:cstheme="minorHAnsi"/>
        </w:rPr>
        <w:t>In addition, the Company may carry out any financial, legal, commercial and technical operation and, in general, take any control and supervisory measures and carry out any operation or transaction that it deems useful or necessary for the achievement or development of its object.</w:t>
      </w:r>
    </w:p>
    <w:p w14:paraId="5F038AE0" w14:textId="77777777" w:rsidR="00EC45B1" w:rsidRDefault="00EC45B1">
      <w:pPr>
        <w:rPr>
          <w:rFonts w:cstheme="minorHAnsi"/>
          <w:lang w:val="en-GB"/>
        </w:rPr>
      </w:pPr>
    </w:p>
    <w:p w14:paraId="25F3905D" w14:textId="77777777" w:rsidR="00EC45B1" w:rsidRDefault="00000000">
      <w:pPr>
        <w:widowControl w:val="0"/>
        <w:tabs>
          <w:tab w:val="left" w:pos="1134"/>
        </w:tabs>
        <w:contextualSpacing/>
        <w:jc w:val="both"/>
        <w:rPr>
          <w:rFonts w:cstheme="minorHAnsi"/>
          <w:i/>
          <w:iCs/>
          <w:lang w:val="en-GB"/>
        </w:rPr>
      </w:pPr>
      <w:r>
        <w:rPr>
          <w:rFonts w:cstheme="minorHAnsi"/>
          <w:i/>
          <w:iCs/>
          <w:highlight w:val="cyan"/>
          <w:lang w:val="en-GB"/>
        </w:rPr>
        <w:t>Example of Holding company purpose</w:t>
      </w:r>
      <w:r>
        <w:rPr>
          <w:rFonts w:cstheme="minorHAnsi"/>
          <w:i/>
          <w:iCs/>
          <w:lang w:val="en-GB"/>
        </w:rPr>
        <w:t>:</w:t>
      </w:r>
    </w:p>
    <w:p w14:paraId="0BF60339" w14:textId="77777777" w:rsidR="00EC45B1" w:rsidRDefault="00000000">
      <w:pPr>
        <w:pStyle w:val="AoALevel3Article11"/>
        <w:widowControl w:val="0"/>
        <w:numPr>
          <w:ilvl w:val="2"/>
          <w:numId w:val="23"/>
        </w:numPr>
        <w:spacing w:after="0"/>
        <w:ind w:left="450" w:hanging="450"/>
        <w:contextualSpacing/>
        <w:rPr>
          <w:rFonts w:cstheme="minorHAnsi"/>
        </w:rPr>
      </w:pPr>
      <w:r>
        <w:rPr>
          <w:rFonts w:cstheme="minorHAnsi"/>
        </w:rPr>
        <w:t>The Company shall have as its business purpose the holding of participations, in any form whatsoever, in Luxembourg and foreign companies, the acquisition by purchase, subscription, or in any other manner as well as the transfer by sale, exchange or otherwise of stock, bonds, debentures, notes and other securities of any kind, the possession, the administration, the development and the management of its portfolio.</w:t>
      </w:r>
    </w:p>
    <w:p w14:paraId="77E66776" w14:textId="77777777" w:rsidR="00EC45B1" w:rsidRDefault="00000000">
      <w:pPr>
        <w:pStyle w:val="AoALevel3Article11"/>
        <w:widowControl w:val="0"/>
        <w:numPr>
          <w:ilvl w:val="2"/>
          <w:numId w:val="24"/>
        </w:numPr>
        <w:spacing w:after="0"/>
        <w:ind w:left="426" w:hanging="426"/>
        <w:contextualSpacing/>
        <w:rPr>
          <w:rFonts w:cstheme="minorHAnsi"/>
        </w:rPr>
      </w:pPr>
      <w:r>
        <w:rPr>
          <w:rFonts w:cstheme="minorHAnsi"/>
        </w:rPr>
        <w:t>The Company may participate in the establishment and development of any financial, industrial or commercial enterprises and may render any assistance by way of loan, guarantees or otherwise to subsidiaries or affiliated companies. The Company may borrow in any form.</w:t>
      </w:r>
    </w:p>
    <w:p w14:paraId="5D1C1E30" w14:textId="77777777" w:rsidR="00EC45B1" w:rsidRDefault="00000000">
      <w:pPr>
        <w:pStyle w:val="AoALevel3Article11"/>
        <w:widowControl w:val="0"/>
        <w:numPr>
          <w:ilvl w:val="2"/>
          <w:numId w:val="25"/>
        </w:numPr>
        <w:spacing w:after="0"/>
        <w:ind w:left="426" w:hanging="426"/>
        <w:contextualSpacing/>
        <w:rPr>
          <w:rFonts w:cstheme="minorHAnsi"/>
        </w:rPr>
      </w:pPr>
      <w:r>
        <w:rPr>
          <w:rFonts w:cstheme="minorHAnsi"/>
        </w:rPr>
        <w:t>The Company may borrow, raise and secure the payment of money in any way the board of managers think fit, including by the issue (to the extent permitted by Luxembourg law) of debentures and other securities or instruments, perpetual or otherwise, convertible or not, whether or not charged on all or any of the Company's property (present and future) or its uncalled capital, and to purchase, redeem, convert and pay off those securities.</w:t>
      </w:r>
    </w:p>
    <w:p w14:paraId="1ABF0F40" w14:textId="77777777" w:rsidR="00EC45B1" w:rsidRDefault="00000000">
      <w:pPr>
        <w:pStyle w:val="AoALevel3Article11"/>
        <w:widowControl w:val="0"/>
        <w:numPr>
          <w:ilvl w:val="2"/>
          <w:numId w:val="26"/>
        </w:numPr>
        <w:spacing w:after="0"/>
        <w:ind w:left="426" w:hanging="426"/>
        <w:contextualSpacing/>
        <w:rPr>
          <w:rFonts w:cstheme="minorHAnsi"/>
        </w:rPr>
      </w:pPr>
      <w:r>
        <w:rPr>
          <w:rFonts w:cstheme="minorHAnsi"/>
        </w:rPr>
        <w:t xml:space="preserve">In general, it may take any controlling and supervisory measures and carry out any financial, movable or </w:t>
      </w:r>
      <w:r>
        <w:rPr>
          <w:rFonts w:cstheme="minorHAnsi"/>
        </w:rPr>
        <w:lastRenderedPageBreak/>
        <w:t>immovable, commercial and industrial operation, which it may deem useful in the accomplishment and development of its purpose.</w:t>
      </w:r>
    </w:p>
    <w:p w14:paraId="2EB8CEBC" w14:textId="77777777" w:rsidR="00EC45B1" w:rsidRDefault="00EC45B1">
      <w:pPr>
        <w:rPr>
          <w:rFonts w:cstheme="minorHAnsi"/>
          <w:lang w:val="en-GB"/>
        </w:rPr>
      </w:pPr>
    </w:p>
    <w:p w14:paraId="02DFDCE4" w14:textId="77777777" w:rsidR="00EC45B1" w:rsidRDefault="00000000">
      <w:pPr>
        <w:widowControl w:val="0"/>
        <w:tabs>
          <w:tab w:val="left" w:pos="1134"/>
        </w:tabs>
        <w:contextualSpacing/>
        <w:jc w:val="both"/>
        <w:rPr>
          <w:rFonts w:cstheme="minorHAnsi"/>
          <w:i/>
          <w:iCs/>
          <w:lang w:val="en-GB"/>
        </w:rPr>
      </w:pPr>
      <w:r>
        <w:rPr>
          <w:rFonts w:cstheme="minorHAnsi"/>
          <w:i/>
          <w:iCs/>
          <w:highlight w:val="cyan"/>
          <w:lang w:val="en-GB"/>
        </w:rPr>
        <w:t>Example of Real Estate Propco purpose</w:t>
      </w:r>
      <w:r>
        <w:rPr>
          <w:rFonts w:cstheme="minorHAnsi"/>
          <w:i/>
          <w:iCs/>
          <w:lang w:val="en-GB"/>
        </w:rPr>
        <w:t>:</w:t>
      </w:r>
    </w:p>
    <w:p w14:paraId="6129BB17" w14:textId="77777777" w:rsidR="00EC45B1" w:rsidRDefault="00000000">
      <w:pPr>
        <w:pStyle w:val="AoALevel3Article11"/>
        <w:widowControl w:val="0"/>
        <w:numPr>
          <w:ilvl w:val="2"/>
          <w:numId w:val="27"/>
        </w:numPr>
        <w:spacing w:after="0"/>
        <w:ind w:left="450" w:hanging="450"/>
        <w:contextualSpacing/>
        <w:rPr>
          <w:rFonts w:cstheme="minorHAnsi"/>
        </w:rPr>
      </w:pPr>
      <w:r>
        <w:rPr>
          <w:rFonts w:cstheme="minorHAnsi"/>
        </w:rPr>
        <w:t>The object of the Company is to carry out all transactions pertaining directly or indirectly to the acquisition of real estate, properties and real estate rights in the Grand Duchy of Luxembourg and abroad as well as any participation in any real estate enterprise or undertaking in any form whatsoever, and the administration, management, control and development of those participations and assets.</w:t>
      </w:r>
    </w:p>
    <w:p w14:paraId="18FB5E44" w14:textId="77777777" w:rsidR="00EC45B1" w:rsidRDefault="00000000">
      <w:pPr>
        <w:pStyle w:val="AoALevel3Article11"/>
        <w:widowControl w:val="0"/>
        <w:numPr>
          <w:ilvl w:val="2"/>
          <w:numId w:val="28"/>
        </w:numPr>
        <w:spacing w:after="0"/>
        <w:ind w:left="450" w:hanging="450"/>
        <w:contextualSpacing/>
        <w:rPr>
          <w:rFonts w:cstheme="minorHAnsi"/>
        </w:rPr>
      </w:pPr>
      <w:r>
        <w:rPr>
          <w:rFonts w:cstheme="minorHAnsi"/>
        </w:rPr>
        <w:t>The Company may also hold participations, in any form whatsoever, in Luxembourg and foreign companies, partnerships or any other type of entity and any other form of investment, the acquisition by purchase, subscription or in any other manner as well as the transfer by sale, exchange or otherwise of securities of any kind and the administration, control and development of its portfolio.</w:t>
      </w:r>
    </w:p>
    <w:p w14:paraId="7E5C1950" w14:textId="77777777" w:rsidR="00EC45B1" w:rsidRDefault="00000000">
      <w:pPr>
        <w:pStyle w:val="AoALevel3Article11"/>
        <w:widowControl w:val="0"/>
        <w:numPr>
          <w:ilvl w:val="2"/>
          <w:numId w:val="29"/>
        </w:numPr>
        <w:spacing w:after="0"/>
        <w:ind w:left="450" w:hanging="450"/>
        <w:contextualSpacing/>
        <w:rPr>
          <w:rFonts w:cstheme="minorHAnsi"/>
        </w:rPr>
      </w:pPr>
      <w:r>
        <w:rPr>
          <w:rFonts w:cstheme="minorHAnsi"/>
        </w:rPr>
        <w:t>The Company may further give guarantees (including up-stream and side-stream guarantees), grant security interests, grant loans or otherwise assist companies, including, without limitation, companies in which it holds a direct or indirect participation or which form part or will form part of the same group of companies as the Company.</w:t>
      </w:r>
    </w:p>
    <w:p w14:paraId="2E43FE43" w14:textId="77777777" w:rsidR="00EC45B1" w:rsidRDefault="00000000">
      <w:pPr>
        <w:pStyle w:val="AoALevel3Article11"/>
        <w:widowControl w:val="0"/>
        <w:numPr>
          <w:ilvl w:val="2"/>
          <w:numId w:val="30"/>
        </w:numPr>
        <w:spacing w:after="0"/>
        <w:ind w:left="450" w:hanging="450"/>
        <w:contextualSpacing/>
        <w:rPr>
          <w:rFonts w:cstheme="minorHAnsi"/>
        </w:rPr>
      </w:pPr>
      <w:r>
        <w:rPr>
          <w:rFonts w:cstheme="minorHAnsi"/>
        </w:rPr>
        <w:t xml:space="preserve">The Company may also acquire loans including at a discount, originate loans and lend funds under any form, advance money or give credit on any terms including without limitation resulting from any borrowings of the Company or from the issue of any equity or debt securities of any kind to any person or entity as it deems fit in relation to any real estate enterprise or undertaking. The Company may </w:t>
      </w:r>
      <w:proofErr w:type="gramStart"/>
      <w:r>
        <w:rPr>
          <w:rFonts w:cstheme="minorHAnsi"/>
        </w:rPr>
        <w:t>enter into</w:t>
      </w:r>
      <w:proofErr w:type="gramEnd"/>
      <w:r>
        <w:rPr>
          <w:rFonts w:cstheme="minorHAnsi"/>
        </w:rPr>
        <w:t xml:space="preserve"> swaps, futures, forwards, derivatives, options, repurchase, stock lending and similar transactions, and, without prejudice to the generality of the foregoing, employ any techniques and instruments in connection with its real estate activities.</w:t>
      </w:r>
    </w:p>
    <w:p w14:paraId="017E0EE9" w14:textId="77777777" w:rsidR="00EC45B1" w:rsidRDefault="00000000">
      <w:pPr>
        <w:pStyle w:val="AoALevel3Article11"/>
        <w:widowControl w:val="0"/>
        <w:numPr>
          <w:ilvl w:val="2"/>
          <w:numId w:val="31"/>
        </w:numPr>
        <w:spacing w:after="0"/>
        <w:ind w:left="450" w:hanging="450"/>
        <w:contextualSpacing/>
        <w:rPr>
          <w:rFonts w:cstheme="minorHAnsi"/>
        </w:rPr>
      </w:pPr>
      <w:r>
        <w:rPr>
          <w:rFonts w:cstheme="minorHAnsi"/>
        </w:rPr>
        <w:t xml:space="preserve">The Company may also </w:t>
      </w:r>
      <w:proofErr w:type="gramStart"/>
      <w:r>
        <w:rPr>
          <w:rFonts w:cstheme="minorHAnsi"/>
        </w:rPr>
        <w:t>enter into</w:t>
      </w:r>
      <w:proofErr w:type="gramEnd"/>
      <w:r>
        <w:rPr>
          <w:rFonts w:cstheme="minorHAnsi"/>
        </w:rPr>
        <w:t xml:space="preserve"> any guarantees, contracts of indemnities, security interests and any other equivalent agreements </w:t>
      </w:r>
      <w:proofErr w:type="gramStart"/>
      <w:r>
        <w:rPr>
          <w:rFonts w:cstheme="minorHAnsi"/>
        </w:rPr>
        <w:t>in order to</w:t>
      </w:r>
      <w:proofErr w:type="gramEnd"/>
      <w:r>
        <w:rPr>
          <w:rFonts w:cstheme="minorHAnsi"/>
        </w:rPr>
        <w:t xml:space="preserve"> receive the benefit of any guarantee and/or security interest granted in the context of such real estate activities. The Company may undertake any roles necessary in connection with such lending activity including, without limitation, the role of arranger, lead manager, facility agent, security agent, documentation agent. The Company shall not undertake such real estate lending or real estate loan acquisition activities in a way that would require it to be regulated pursuant to the Luxembourg act dated 5 April 1993 on the financial sector, as amended or any future act or regulation amending or replacing such act.</w:t>
      </w:r>
    </w:p>
    <w:p w14:paraId="5C0EA775" w14:textId="77777777" w:rsidR="00EC45B1" w:rsidRDefault="00000000">
      <w:pPr>
        <w:pStyle w:val="AoALevel3Article11"/>
        <w:widowControl w:val="0"/>
        <w:numPr>
          <w:ilvl w:val="2"/>
          <w:numId w:val="32"/>
        </w:numPr>
        <w:spacing w:after="0"/>
        <w:ind w:left="450" w:hanging="450"/>
        <w:contextualSpacing/>
        <w:rPr>
          <w:rFonts w:cstheme="minorHAnsi"/>
        </w:rPr>
      </w:pPr>
      <w:r>
        <w:rPr>
          <w:rFonts w:cstheme="minorHAnsi"/>
        </w:rPr>
        <w:t xml:space="preserve">The Company can perform all commercial, technical and financial or other operations, connected directly or indirectly in all areas </w:t>
      </w:r>
      <w:proofErr w:type="gramStart"/>
      <w:r>
        <w:rPr>
          <w:rFonts w:cstheme="minorHAnsi"/>
        </w:rPr>
        <w:t>in order to</w:t>
      </w:r>
      <w:proofErr w:type="gramEnd"/>
      <w:r>
        <w:rPr>
          <w:rFonts w:cstheme="minorHAnsi"/>
        </w:rPr>
        <w:t xml:space="preserve"> facilitate the accomplishment of its purposes.</w:t>
      </w:r>
    </w:p>
    <w:p w14:paraId="393B10CB" w14:textId="77777777" w:rsidR="00EC45B1" w:rsidRDefault="00000000">
      <w:pPr>
        <w:pStyle w:val="AoALevel3Article11"/>
        <w:widowControl w:val="0"/>
        <w:numPr>
          <w:ilvl w:val="2"/>
          <w:numId w:val="33"/>
        </w:numPr>
        <w:spacing w:after="0"/>
        <w:ind w:left="450" w:hanging="450"/>
        <w:contextualSpacing/>
        <w:rPr>
          <w:rFonts w:cstheme="minorHAnsi"/>
        </w:rPr>
      </w:pPr>
      <w:r>
        <w:rPr>
          <w:rFonts w:cstheme="minorHAnsi"/>
        </w:rPr>
        <w:t>In particular, the Company will provide the companies within its portfolio with the services necessary to their administration, control and development. For that purpose, the Company may require and retain the assistance of other advisors.</w:t>
      </w:r>
    </w:p>
    <w:p w14:paraId="2A000028" w14:textId="77777777" w:rsidR="00EC45B1" w:rsidRDefault="00EC45B1">
      <w:pPr>
        <w:rPr>
          <w:rFonts w:cstheme="minorHAnsi"/>
          <w:lang w:val="en-GB"/>
        </w:rPr>
      </w:pPr>
    </w:p>
    <w:p w14:paraId="5D12D226" w14:textId="77777777" w:rsidR="00EC45B1" w:rsidRDefault="00000000">
      <w:pPr>
        <w:widowControl w:val="0"/>
        <w:tabs>
          <w:tab w:val="left" w:pos="1134"/>
        </w:tabs>
        <w:contextualSpacing/>
        <w:jc w:val="both"/>
        <w:rPr>
          <w:rFonts w:cstheme="minorHAnsi"/>
          <w:i/>
          <w:iCs/>
          <w:lang w:val="en-GB"/>
        </w:rPr>
      </w:pPr>
      <w:r>
        <w:rPr>
          <w:rFonts w:cstheme="minorHAnsi"/>
          <w:i/>
          <w:iCs/>
          <w:highlight w:val="cyan"/>
          <w:lang w:val="en-GB"/>
        </w:rPr>
        <w:t xml:space="preserve">Example of purpose for General Partner of unregulated Special Limited Partnership (SLP / </w:t>
      </w:r>
      <w:proofErr w:type="spellStart"/>
      <w:r>
        <w:rPr>
          <w:rFonts w:cstheme="minorHAnsi"/>
          <w:i/>
          <w:iCs/>
          <w:highlight w:val="cyan"/>
          <w:lang w:val="en-GB"/>
        </w:rPr>
        <w:t>SCSp</w:t>
      </w:r>
      <w:proofErr w:type="spellEnd"/>
      <w:r>
        <w:rPr>
          <w:rFonts w:cstheme="minorHAnsi"/>
          <w:i/>
          <w:iCs/>
          <w:highlight w:val="cyan"/>
          <w:lang w:val="en-GB"/>
        </w:rPr>
        <w:t>)</w:t>
      </w:r>
      <w:r>
        <w:rPr>
          <w:rFonts w:cstheme="minorHAnsi"/>
          <w:i/>
          <w:iCs/>
          <w:lang w:val="en-GB"/>
        </w:rPr>
        <w:t>:</w:t>
      </w:r>
    </w:p>
    <w:p w14:paraId="3614F0EB" w14:textId="77777777" w:rsidR="00EC45B1" w:rsidRDefault="00000000">
      <w:pPr>
        <w:pStyle w:val="AoALevel3Article11"/>
        <w:widowControl w:val="0"/>
        <w:numPr>
          <w:ilvl w:val="2"/>
          <w:numId w:val="34"/>
        </w:numPr>
        <w:spacing w:after="0"/>
        <w:ind w:left="450" w:hanging="450"/>
        <w:contextualSpacing/>
        <w:rPr>
          <w:rFonts w:cstheme="minorHAnsi"/>
        </w:rPr>
      </w:pPr>
      <w:r>
        <w:rPr>
          <w:rFonts w:cstheme="minorHAnsi"/>
        </w:rPr>
        <w:t>The purpose of the Company is the holding of participations, in any form whatsoever in Luxembourg and foreign companies and in any other form of investment, the acquisition by purchase, subscription or in any other manner as well as the transfer by sale, exchange or otherwise of securities of any kind and the administration, management, control and development of its portfolio.</w:t>
      </w:r>
    </w:p>
    <w:p w14:paraId="5C6B3D8A" w14:textId="77777777" w:rsidR="00EC45B1" w:rsidRDefault="00000000">
      <w:pPr>
        <w:pStyle w:val="AoALevel3Article11"/>
        <w:widowControl w:val="0"/>
        <w:numPr>
          <w:ilvl w:val="2"/>
          <w:numId w:val="35"/>
        </w:numPr>
        <w:spacing w:after="0"/>
        <w:ind w:left="450" w:hanging="450"/>
        <w:contextualSpacing/>
        <w:rPr>
          <w:rFonts w:cstheme="minorHAnsi"/>
        </w:rPr>
      </w:pPr>
      <w:r>
        <w:rPr>
          <w:rFonts w:cstheme="minorHAnsi"/>
        </w:rPr>
        <w:t xml:space="preserve">The Company may grant loans to, as well as guarantees or security for the benefit of third parties to secure obligations of, companies in which it holds a direct or indirect participation or right of any kind or which form part of the same group of companies as the </w:t>
      </w:r>
      <w:proofErr w:type="gramStart"/>
      <w:r>
        <w:rPr>
          <w:rFonts w:cstheme="minorHAnsi"/>
        </w:rPr>
        <w:t>Company, or</w:t>
      </w:r>
      <w:proofErr w:type="gramEnd"/>
      <w:r>
        <w:rPr>
          <w:rFonts w:cstheme="minorHAnsi"/>
        </w:rPr>
        <w:t xml:space="preserve"> otherwise assist such companies.</w:t>
      </w:r>
    </w:p>
    <w:p w14:paraId="1924ACA1" w14:textId="77777777" w:rsidR="00EC45B1" w:rsidRDefault="00000000">
      <w:pPr>
        <w:pStyle w:val="AoALevel3Article11"/>
        <w:widowControl w:val="0"/>
        <w:numPr>
          <w:ilvl w:val="2"/>
          <w:numId w:val="36"/>
        </w:numPr>
        <w:spacing w:after="0"/>
        <w:ind w:left="450" w:hanging="450"/>
        <w:contextualSpacing/>
        <w:rPr>
          <w:spacing w:val="2"/>
        </w:rPr>
      </w:pPr>
      <w:r>
        <w:rPr>
          <w:rFonts w:cstheme="minorHAnsi"/>
        </w:rPr>
        <w:t>The Company may raise funds through borrowing in any form or by issuing any kind of notes, securities or debt instruments, bonds and debentures and generally issue securities of any type. The Company may not publicly issue</w:t>
      </w:r>
      <w:r>
        <w:rPr>
          <w:spacing w:val="2"/>
        </w:rPr>
        <w:t xml:space="preserve"> shares.</w:t>
      </w:r>
    </w:p>
    <w:p w14:paraId="2EFF59A2" w14:textId="77777777" w:rsidR="00EC45B1" w:rsidRDefault="00000000">
      <w:pPr>
        <w:pStyle w:val="AoALevel3Article11"/>
        <w:widowControl w:val="0"/>
        <w:numPr>
          <w:ilvl w:val="2"/>
          <w:numId w:val="37"/>
        </w:numPr>
        <w:spacing w:after="0"/>
        <w:ind w:left="450" w:hanging="450"/>
        <w:contextualSpacing/>
        <w:rPr>
          <w:rFonts w:cstheme="minorHAnsi"/>
        </w:rPr>
      </w:pPr>
      <w:r>
        <w:rPr>
          <w:rFonts w:cstheme="minorHAnsi"/>
        </w:rPr>
        <w:t>The Company may carry out any commercial, industrial, financial, real estate or intellectual property activities which it considers useful for the accomplishment of these purposes.</w:t>
      </w:r>
    </w:p>
    <w:p w14:paraId="151E57B9" w14:textId="77777777" w:rsidR="00EC45B1" w:rsidRDefault="00000000">
      <w:pPr>
        <w:pStyle w:val="AoALevel3Article11"/>
        <w:widowControl w:val="0"/>
        <w:numPr>
          <w:ilvl w:val="2"/>
          <w:numId w:val="38"/>
        </w:numPr>
        <w:spacing w:after="0"/>
        <w:ind w:left="450" w:hanging="450"/>
        <w:contextualSpacing/>
        <w:rPr>
          <w:rFonts w:cstheme="minorHAnsi"/>
        </w:rPr>
      </w:pPr>
      <w:r>
        <w:rPr>
          <w:rFonts w:cstheme="minorHAnsi"/>
        </w:rPr>
        <w:t xml:space="preserve">The Company shall not be acting as an alternative investment fund as defined in the Luxembourg law of 12 July 2013 on Alternative Investment Fund Managers and shall not carry out any other activity which </w:t>
      </w:r>
      <w:r>
        <w:rPr>
          <w:rFonts w:cstheme="minorHAnsi"/>
        </w:rPr>
        <w:lastRenderedPageBreak/>
        <w:t>would be subject to supervision by the</w:t>
      </w:r>
      <w:r>
        <w:rPr>
          <w:spacing w:val="2"/>
        </w:rPr>
        <w:t xml:space="preserve"> </w:t>
      </w:r>
      <w:r>
        <w:rPr>
          <w:rFonts w:cstheme="minorHAnsi"/>
          <w:i/>
          <w:iCs/>
        </w:rPr>
        <w:t xml:space="preserve">Commission de Surveillance du </w:t>
      </w:r>
      <w:proofErr w:type="spellStart"/>
      <w:r>
        <w:rPr>
          <w:rFonts w:cstheme="minorHAnsi"/>
          <w:i/>
          <w:iCs/>
        </w:rPr>
        <w:t>Secteur</w:t>
      </w:r>
      <w:proofErr w:type="spellEnd"/>
      <w:r>
        <w:rPr>
          <w:rFonts w:cstheme="minorHAnsi"/>
          <w:i/>
          <w:iCs/>
        </w:rPr>
        <w:t xml:space="preserve"> Financier</w:t>
      </w:r>
      <w:r>
        <w:rPr>
          <w:rFonts w:cstheme="minorHAnsi"/>
        </w:rPr>
        <w:t>. In particular, the Company will not (directly or indirectly) actively market its shares or other securities to investors.</w:t>
      </w:r>
    </w:p>
    <w:p w14:paraId="48180CB4" w14:textId="77777777" w:rsidR="00EC45B1" w:rsidRDefault="00000000">
      <w:pPr>
        <w:pStyle w:val="AoALevel3Article11"/>
        <w:widowControl w:val="0"/>
        <w:numPr>
          <w:ilvl w:val="2"/>
          <w:numId w:val="39"/>
        </w:numPr>
        <w:spacing w:after="0"/>
        <w:ind w:left="450" w:hanging="450"/>
        <w:contextualSpacing/>
      </w:pPr>
      <w:r>
        <w:t>The Company may also act as a partner with unlimited or limited liability for the debts and obligations of any Luxembourg or foreign entity.</w:t>
      </w:r>
    </w:p>
    <w:p w14:paraId="5DAC2D94" w14:textId="77777777" w:rsidR="00EC45B1" w:rsidRDefault="00EC45B1">
      <w:pPr>
        <w:rPr>
          <w:rFonts w:cstheme="minorHAnsi"/>
          <w:lang w:val="en-GB"/>
        </w:rPr>
      </w:pPr>
    </w:p>
    <w:p w14:paraId="315D7EF4" w14:textId="77777777" w:rsidR="00EC45B1" w:rsidRDefault="00000000">
      <w:pPr>
        <w:widowControl w:val="0"/>
        <w:tabs>
          <w:tab w:val="left" w:pos="1134"/>
        </w:tabs>
        <w:contextualSpacing/>
        <w:jc w:val="both"/>
        <w:rPr>
          <w:rFonts w:cstheme="minorHAnsi"/>
          <w:i/>
          <w:iCs/>
          <w:lang w:val="en-GB"/>
        </w:rPr>
      </w:pPr>
      <w:r>
        <w:rPr>
          <w:rFonts w:cstheme="minorHAnsi"/>
          <w:i/>
          <w:iCs/>
          <w:highlight w:val="cyan"/>
          <w:lang w:val="en-GB"/>
        </w:rPr>
        <w:t>Example of purpose for General Partner of SCA SICAR fund</w:t>
      </w:r>
      <w:r>
        <w:rPr>
          <w:rFonts w:cstheme="minorHAnsi"/>
          <w:i/>
          <w:iCs/>
          <w:lang w:val="en-GB"/>
        </w:rPr>
        <w:t>:</w:t>
      </w:r>
    </w:p>
    <w:p w14:paraId="6ADC179A" w14:textId="77777777" w:rsidR="00EC45B1" w:rsidRDefault="00000000">
      <w:pPr>
        <w:pStyle w:val="AoALevel3Article11"/>
        <w:widowControl w:val="0"/>
        <w:numPr>
          <w:ilvl w:val="2"/>
          <w:numId w:val="40"/>
        </w:numPr>
        <w:spacing w:after="0"/>
        <w:ind w:left="450" w:hanging="450"/>
        <w:contextualSpacing/>
        <w:rPr>
          <w:rFonts w:cstheme="minorHAnsi"/>
        </w:rPr>
      </w:pPr>
      <w:r>
        <w:rPr>
          <w:rFonts w:cstheme="minorHAnsi"/>
        </w:rPr>
        <w:t>The object of the Company is to serve as the general partner (</w:t>
      </w:r>
      <w:proofErr w:type="spellStart"/>
      <w:r>
        <w:rPr>
          <w:rFonts w:cstheme="minorHAnsi"/>
          <w:i/>
          <w:iCs/>
        </w:rPr>
        <w:t>associé</w:t>
      </w:r>
      <w:proofErr w:type="spellEnd"/>
      <w:r>
        <w:rPr>
          <w:rFonts w:cstheme="minorHAnsi"/>
          <w:i/>
          <w:iCs/>
        </w:rPr>
        <w:t xml:space="preserve"> </w:t>
      </w:r>
      <w:proofErr w:type="spellStart"/>
      <w:r>
        <w:rPr>
          <w:rFonts w:cstheme="minorHAnsi"/>
          <w:i/>
          <w:iCs/>
        </w:rPr>
        <w:t>commandité</w:t>
      </w:r>
      <w:proofErr w:type="spellEnd"/>
      <w:r>
        <w:rPr>
          <w:rFonts w:cstheme="minorHAnsi"/>
        </w:rPr>
        <w:t>) to [</w:t>
      </w:r>
      <w:r>
        <w:rPr>
          <w:rFonts w:cstheme="minorHAnsi"/>
          <w:highlight w:val="yellow"/>
        </w:rPr>
        <w:t>fund name</w:t>
      </w:r>
      <w:r>
        <w:rPr>
          <w:rFonts w:cstheme="minorHAnsi"/>
        </w:rPr>
        <w:t xml:space="preserve"> S.C.A., SICAR], a partnership limited by shares (</w:t>
      </w:r>
      <w:r>
        <w:rPr>
          <w:rFonts w:cstheme="minorHAnsi"/>
          <w:i/>
          <w:iCs/>
        </w:rPr>
        <w:t xml:space="preserve">société </w:t>
      </w:r>
      <w:proofErr w:type="spellStart"/>
      <w:r>
        <w:rPr>
          <w:rFonts w:cstheme="minorHAnsi"/>
          <w:i/>
          <w:iCs/>
        </w:rPr>
        <w:t>en</w:t>
      </w:r>
      <w:proofErr w:type="spellEnd"/>
      <w:r>
        <w:rPr>
          <w:rFonts w:cstheme="minorHAnsi"/>
          <w:i/>
          <w:iCs/>
        </w:rPr>
        <w:t xml:space="preserve"> </w:t>
      </w:r>
      <w:proofErr w:type="spellStart"/>
      <w:r>
        <w:rPr>
          <w:rFonts w:cstheme="minorHAnsi"/>
          <w:i/>
          <w:iCs/>
        </w:rPr>
        <w:t>commandite</w:t>
      </w:r>
      <w:proofErr w:type="spellEnd"/>
      <w:r>
        <w:rPr>
          <w:rFonts w:cstheme="minorHAnsi"/>
          <w:i/>
          <w:iCs/>
        </w:rPr>
        <w:t xml:space="preserve"> par actions</w:t>
      </w:r>
      <w:r>
        <w:rPr>
          <w:rFonts w:cstheme="minorHAnsi"/>
        </w:rPr>
        <w:t>) governed by the laws of the Grand Duchy of Luxembourg (the SICAR), in particular the law of 15 June 2004 on risk capital investment company, as amended (the SICAR Law).</w:t>
      </w:r>
    </w:p>
    <w:p w14:paraId="18825B4B" w14:textId="77777777" w:rsidR="00EC45B1" w:rsidRDefault="00000000">
      <w:pPr>
        <w:pStyle w:val="AoALevel3Article11"/>
        <w:widowControl w:val="0"/>
        <w:numPr>
          <w:ilvl w:val="2"/>
          <w:numId w:val="41"/>
        </w:numPr>
        <w:spacing w:after="0"/>
        <w:ind w:left="450" w:hanging="450"/>
        <w:contextualSpacing/>
        <w:rPr>
          <w:rFonts w:cstheme="minorHAnsi"/>
        </w:rPr>
      </w:pPr>
      <w:r>
        <w:rPr>
          <w:rFonts w:cstheme="minorHAnsi"/>
        </w:rPr>
        <w:t>The Company may also carry out all transactions pertaining directly or indirectly to the taking of participating interests in any enterprises in whatever form, as well as the administration, management, control and development of such participating interests, in the Grand Duchy of Luxembourg and abroad.</w:t>
      </w:r>
    </w:p>
    <w:p w14:paraId="5BF518E5" w14:textId="77777777" w:rsidR="00EC45B1" w:rsidRDefault="00000000">
      <w:pPr>
        <w:pStyle w:val="AoALevel3Article11"/>
        <w:widowControl w:val="0"/>
        <w:numPr>
          <w:ilvl w:val="2"/>
          <w:numId w:val="42"/>
        </w:numPr>
        <w:spacing w:after="0"/>
        <w:ind w:left="450" w:hanging="450"/>
        <w:contextualSpacing/>
        <w:rPr>
          <w:rFonts w:cstheme="minorHAnsi"/>
        </w:rPr>
      </w:pPr>
      <w:r>
        <w:rPr>
          <w:rFonts w:cstheme="minorHAnsi"/>
        </w:rPr>
        <w:t>The Company may particularly use its funds for the setting-up, management, development and disposal of a portfolio consisting of any securities and patents of whatever origin, participate in the creation, development and control of any enterprises, acquire by way of contribution, subscription, underwriting or by option to purchase and any other way whatsoever, any type of securities and patents, realise them by way of sale, transfer, exchange or otherwise, have these securities and patents developed.</w:t>
      </w:r>
    </w:p>
    <w:p w14:paraId="64C9026C" w14:textId="77777777" w:rsidR="00EC45B1" w:rsidRDefault="00000000">
      <w:pPr>
        <w:pStyle w:val="AoALevel3Article11"/>
        <w:widowControl w:val="0"/>
        <w:numPr>
          <w:ilvl w:val="2"/>
          <w:numId w:val="43"/>
        </w:numPr>
        <w:spacing w:after="0"/>
        <w:ind w:left="450" w:hanging="450"/>
        <w:contextualSpacing/>
        <w:rPr>
          <w:rFonts w:cstheme="minorHAnsi"/>
        </w:rPr>
      </w:pPr>
      <w:r>
        <w:rPr>
          <w:rFonts w:cstheme="minorHAnsi"/>
        </w:rPr>
        <w:t xml:space="preserve">In general, the Company may likewise carry out any financial, commercial, industrial, movable or real estate transactions, take any measures to safeguard its rights and make any transactions whatsoever which are directly or indirectly connected with its </w:t>
      </w:r>
      <w:proofErr w:type="gramStart"/>
      <w:r>
        <w:rPr>
          <w:rFonts w:cstheme="minorHAnsi"/>
        </w:rPr>
        <w:t>purpose</w:t>
      </w:r>
      <w:proofErr w:type="gramEnd"/>
      <w:r>
        <w:rPr>
          <w:rFonts w:cstheme="minorHAnsi"/>
        </w:rPr>
        <w:t xml:space="preserve"> or which are liable to promote their development.</w:t>
      </w:r>
    </w:p>
    <w:p w14:paraId="0E6EE565" w14:textId="77777777" w:rsidR="00EC45B1" w:rsidRDefault="00000000">
      <w:pPr>
        <w:pStyle w:val="AoALevel3Article11"/>
        <w:widowControl w:val="0"/>
        <w:numPr>
          <w:ilvl w:val="2"/>
          <w:numId w:val="44"/>
        </w:numPr>
        <w:spacing w:after="0"/>
        <w:ind w:left="450" w:hanging="450"/>
        <w:contextualSpacing/>
        <w:rPr>
          <w:rFonts w:cstheme="minorHAnsi"/>
        </w:rPr>
      </w:pPr>
      <w:r>
        <w:rPr>
          <w:rFonts w:cstheme="minorHAnsi"/>
        </w:rPr>
        <w:t xml:space="preserve">The Company may borrow in any form except by way of public offer. It may issue by way of private placement only, notes, bonds and debentures and any kind of debt, whether convertible or not, and/or equity securities. It may give guarantees and grant securities in </w:t>
      </w:r>
      <w:proofErr w:type="spellStart"/>
      <w:r>
        <w:rPr>
          <w:rFonts w:cstheme="minorHAnsi"/>
        </w:rPr>
        <w:t>favor</w:t>
      </w:r>
      <w:proofErr w:type="spellEnd"/>
      <w:r>
        <w:rPr>
          <w:rFonts w:cstheme="minorHAnsi"/>
        </w:rPr>
        <w:t xml:space="preserve"> of third parties to secure its obligations or the obligations of its subsidiaries, affiliated companies or any other companies. The Company may further pledge, transfer, encumber or otherwise create security over all or over some of its assets.</w:t>
      </w:r>
    </w:p>
    <w:p w14:paraId="4F630658" w14:textId="77777777" w:rsidR="00EC45B1" w:rsidRDefault="00EC45B1">
      <w:pPr>
        <w:rPr>
          <w:rFonts w:cstheme="minorHAnsi"/>
        </w:rPr>
      </w:pPr>
    </w:p>
    <w:p w14:paraId="24F72FB8" w14:textId="77777777" w:rsidR="00EC45B1" w:rsidRDefault="00000000">
      <w:pPr>
        <w:widowControl w:val="0"/>
        <w:tabs>
          <w:tab w:val="left" w:pos="1134"/>
        </w:tabs>
        <w:contextualSpacing/>
        <w:jc w:val="both"/>
        <w:rPr>
          <w:rFonts w:cstheme="minorHAnsi"/>
          <w:i/>
          <w:iCs/>
          <w:lang w:val="en-GB"/>
        </w:rPr>
      </w:pPr>
      <w:r>
        <w:rPr>
          <w:rFonts w:cstheme="minorHAnsi"/>
          <w:i/>
          <w:iCs/>
          <w:highlight w:val="cyan"/>
          <w:lang w:val="en-GB"/>
        </w:rPr>
        <w:t>Example of purpose for General Partner of SICAV-SIF (Specialised Investment Fund)</w:t>
      </w:r>
      <w:r>
        <w:rPr>
          <w:rFonts w:cstheme="minorHAnsi"/>
          <w:i/>
          <w:iCs/>
          <w:lang w:val="en-GB"/>
        </w:rPr>
        <w:t>:</w:t>
      </w:r>
    </w:p>
    <w:p w14:paraId="39EE5FD7" w14:textId="77777777" w:rsidR="00EC45B1" w:rsidRDefault="00000000">
      <w:pPr>
        <w:pStyle w:val="AoALevel3Article11"/>
        <w:widowControl w:val="0"/>
        <w:numPr>
          <w:ilvl w:val="2"/>
          <w:numId w:val="45"/>
        </w:numPr>
        <w:spacing w:after="0"/>
        <w:ind w:left="450" w:hanging="450"/>
        <w:contextualSpacing/>
        <w:rPr>
          <w:rFonts w:cstheme="minorHAnsi"/>
        </w:rPr>
      </w:pPr>
      <w:r>
        <w:rPr>
          <w:rFonts w:cstheme="minorHAnsi"/>
        </w:rPr>
        <w:t>The Company will act as general partner of, and take general partner interests in, [</w:t>
      </w:r>
      <w:r>
        <w:rPr>
          <w:rFonts w:cstheme="minorHAnsi"/>
          <w:highlight w:val="yellow"/>
        </w:rPr>
        <w:t>fund mane</w:t>
      </w:r>
      <w:r>
        <w:rPr>
          <w:rFonts w:cstheme="minorHAnsi"/>
        </w:rPr>
        <w:t>], a Luxembourg investment company with variable capital – specialised investment fund (</w:t>
      </w:r>
      <w:r>
        <w:rPr>
          <w:rFonts w:cstheme="minorHAnsi"/>
          <w:i/>
          <w:iCs/>
        </w:rPr>
        <w:t xml:space="preserve">société </w:t>
      </w:r>
      <w:proofErr w:type="spellStart"/>
      <w:r>
        <w:rPr>
          <w:rFonts w:cstheme="minorHAnsi"/>
          <w:i/>
          <w:iCs/>
        </w:rPr>
        <w:t>d'investissement</w:t>
      </w:r>
      <w:proofErr w:type="spellEnd"/>
      <w:r>
        <w:rPr>
          <w:rFonts w:cstheme="minorHAnsi"/>
          <w:i/>
          <w:iCs/>
        </w:rPr>
        <w:t xml:space="preserve"> à capital variable - fonds </w:t>
      </w:r>
      <w:proofErr w:type="spellStart"/>
      <w:r>
        <w:rPr>
          <w:rFonts w:cstheme="minorHAnsi"/>
          <w:i/>
          <w:iCs/>
        </w:rPr>
        <w:t>d'investissement</w:t>
      </w:r>
      <w:proofErr w:type="spellEnd"/>
      <w:r>
        <w:rPr>
          <w:rFonts w:cstheme="minorHAnsi"/>
        </w:rPr>
        <w:t xml:space="preserve"> </w:t>
      </w:r>
      <w:proofErr w:type="spellStart"/>
      <w:r>
        <w:rPr>
          <w:rFonts w:cstheme="minorHAnsi"/>
          <w:i/>
          <w:iCs/>
        </w:rPr>
        <w:t>spécialisé</w:t>
      </w:r>
      <w:proofErr w:type="spellEnd"/>
      <w:r>
        <w:rPr>
          <w:rFonts w:cstheme="minorHAnsi"/>
        </w:rPr>
        <w:t>) organised as a corporate partnership limited by shares (</w:t>
      </w:r>
      <w:r>
        <w:rPr>
          <w:rFonts w:cstheme="minorHAnsi"/>
          <w:i/>
          <w:iCs/>
        </w:rPr>
        <w:t xml:space="preserve">société </w:t>
      </w:r>
      <w:proofErr w:type="spellStart"/>
      <w:r>
        <w:rPr>
          <w:rFonts w:cstheme="minorHAnsi"/>
          <w:i/>
          <w:iCs/>
        </w:rPr>
        <w:t>en</w:t>
      </w:r>
      <w:proofErr w:type="spellEnd"/>
      <w:r>
        <w:rPr>
          <w:rFonts w:cstheme="minorHAnsi"/>
          <w:i/>
          <w:iCs/>
        </w:rPr>
        <w:t xml:space="preserve"> </w:t>
      </w:r>
      <w:proofErr w:type="spellStart"/>
      <w:r>
        <w:rPr>
          <w:rFonts w:cstheme="minorHAnsi"/>
          <w:i/>
          <w:iCs/>
        </w:rPr>
        <w:t>commandite</w:t>
      </w:r>
      <w:proofErr w:type="spellEnd"/>
      <w:r>
        <w:rPr>
          <w:rFonts w:cstheme="minorHAnsi"/>
          <w:i/>
          <w:iCs/>
        </w:rPr>
        <w:t xml:space="preserve"> par actions</w:t>
      </w:r>
      <w:r>
        <w:rPr>
          <w:rFonts w:cstheme="minorHAnsi"/>
        </w:rPr>
        <w:t>) subject to the Luxembourg act of 13 February 2007 relating to specialised investment funds, as amended (the 2007 Act).</w:t>
      </w:r>
    </w:p>
    <w:p w14:paraId="08DF8537" w14:textId="77777777" w:rsidR="00EC45B1" w:rsidRDefault="00000000">
      <w:pPr>
        <w:pStyle w:val="AoALevel3Article11"/>
        <w:widowControl w:val="0"/>
        <w:numPr>
          <w:ilvl w:val="2"/>
          <w:numId w:val="46"/>
        </w:numPr>
        <w:spacing w:after="0"/>
        <w:ind w:left="450" w:hanging="450"/>
        <w:contextualSpacing/>
        <w:rPr>
          <w:rFonts w:cstheme="minorHAnsi"/>
        </w:rPr>
      </w:pPr>
      <w:r>
        <w:rPr>
          <w:rFonts w:cstheme="minorHAnsi"/>
        </w:rPr>
        <w:t>The Company may carry out any commercial, industrial or financial activities which it may deem useful in the accomplishment and development of its purpose.</w:t>
      </w:r>
    </w:p>
    <w:p w14:paraId="020634C0" w14:textId="77777777" w:rsidR="00EC45B1" w:rsidRDefault="00EC45B1">
      <w:pPr>
        <w:rPr>
          <w:rFonts w:cstheme="minorHAnsi"/>
        </w:rPr>
      </w:pPr>
    </w:p>
    <w:p w14:paraId="43224BD8" w14:textId="77777777" w:rsidR="00EC45B1" w:rsidRDefault="00000000">
      <w:pPr>
        <w:pStyle w:val="AoALevel2Article1"/>
        <w:keepNext w:val="0"/>
        <w:widowControl w:val="0"/>
        <w:numPr>
          <w:ilvl w:val="1"/>
          <w:numId w:val="47"/>
        </w:numPr>
        <w:spacing w:before="120" w:after="0"/>
        <w:ind w:left="850" w:hanging="850"/>
        <w:contextualSpacing/>
        <w:rPr>
          <w:rFonts w:cstheme="minorHAnsi"/>
        </w:rPr>
      </w:pPr>
      <w:r>
        <w:rPr>
          <w:rFonts w:cstheme="minorHAnsi"/>
        </w:rPr>
        <w:t xml:space="preserve"> </w:t>
      </w:r>
      <w:r>
        <w:rPr>
          <w:rFonts w:cstheme="minorHAnsi"/>
        </w:rPr>
        <w:tab/>
        <w:t>Duration</w:t>
      </w:r>
    </w:p>
    <w:p w14:paraId="15C469C0" w14:textId="77777777" w:rsidR="00EC45B1" w:rsidRDefault="00000000">
      <w:pPr>
        <w:pStyle w:val="AoALevel3Article11"/>
        <w:widowControl w:val="0"/>
        <w:numPr>
          <w:ilvl w:val="2"/>
          <w:numId w:val="48"/>
        </w:numPr>
        <w:spacing w:after="0"/>
        <w:ind w:left="426" w:hanging="426"/>
        <w:contextualSpacing/>
        <w:rPr>
          <w:rFonts w:cstheme="minorHAnsi"/>
        </w:rPr>
      </w:pPr>
      <w:r>
        <w:rPr>
          <w:rFonts w:cstheme="minorHAnsi"/>
        </w:rPr>
        <w:t>The Company is incorporated for an unlimited period.</w:t>
      </w:r>
    </w:p>
    <w:p w14:paraId="2B19B1C9" w14:textId="77777777" w:rsidR="00EC45B1" w:rsidRDefault="00000000">
      <w:pPr>
        <w:pStyle w:val="AoALevel3Article11"/>
        <w:widowControl w:val="0"/>
        <w:numPr>
          <w:ilvl w:val="2"/>
          <w:numId w:val="49"/>
        </w:numPr>
        <w:spacing w:after="0"/>
        <w:ind w:left="426" w:hanging="426"/>
        <w:contextualSpacing/>
        <w:rPr>
          <w:rFonts w:cstheme="minorHAnsi"/>
        </w:rPr>
      </w:pPr>
      <w:bookmarkStart w:id="0" w:name="_Ref458698600"/>
      <w:r>
        <w:rPr>
          <w:rFonts w:cstheme="minorHAnsi"/>
        </w:rPr>
        <w:t xml:space="preserve">It may be dissolved at any time, with or without cause, by a decision of the general meeting of the partners adopted with </w:t>
      </w:r>
      <w:bookmarkEnd w:id="0"/>
      <w:r>
        <w:rPr>
          <w:rFonts w:cstheme="minorHAnsi"/>
        </w:rPr>
        <w:t>the majority required for the amendment of these articles.</w:t>
      </w:r>
    </w:p>
    <w:p w14:paraId="13C626FE" w14:textId="77777777" w:rsidR="00EC45B1" w:rsidRDefault="00000000">
      <w:pPr>
        <w:pStyle w:val="AoALevel2Article1"/>
        <w:keepNext w:val="0"/>
        <w:widowControl w:val="0"/>
        <w:numPr>
          <w:ilvl w:val="1"/>
          <w:numId w:val="50"/>
        </w:numPr>
        <w:tabs>
          <w:tab w:val="left" w:pos="851"/>
        </w:tabs>
        <w:spacing w:before="120" w:after="0"/>
        <w:ind w:left="1987" w:hanging="1987"/>
        <w:contextualSpacing/>
        <w:rPr>
          <w:rFonts w:cstheme="minorHAnsi"/>
        </w:rPr>
      </w:pPr>
      <w:r>
        <w:rPr>
          <w:rFonts w:cstheme="minorHAnsi"/>
        </w:rPr>
        <w:t xml:space="preserve"> </w:t>
      </w:r>
      <w:r>
        <w:rPr>
          <w:rFonts w:cstheme="minorHAnsi"/>
        </w:rPr>
        <w:tab/>
        <w:t>Registered office</w:t>
      </w:r>
    </w:p>
    <w:p w14:paraId="33D28FE1" w14:textId="77777777" w:rsidR="00EC45B1" w:rsidRDefault="00000000">
      <w:pPr>
        <w:pStyle w:val="AoALevel3Article11"/>
        <w:widowControl w:val="0"/>
        <w:numPr>
          <w:ilvl w:val="2"/>
          <w:numId w:val="51"/>
        </w:numPr>
        <w:spacing w:after="0"/>
        <w:ind w:left="426" w:hanging="426"/>
        <w:contextualSpacing/>
        <w:rPr>
          <w:rFonts w:cstheme="minorHAnsi"/>
        </w:rPr>
      </w:pPr>
      <w:r>
        <w:rPr>
          <w:rFonts w:cstheme="minorHAnsi"/>
        </w:rPr>
        <w:t xml:space="preserve">The Company's registered office is established in the City of </w:t>
      </w:r>
      <w:r>
        <w:rPr>
          <w:rFonts w:cstheme="minorHAnsi"/>
          <w:highlight w:val="yellow"/>
        </w:rPr>
        <w:t>XXX</w:t>
      </w:r>
      <w:r>
        <w:rPr>
          <w:rFonts w:cstheme="minorHAnsi"/>
        </w:rPr>
        <w:t>, Grand Duchy of Luxembourg.</w:t>
      </w:r>
    </w:p>
    <w:p w14:paraId="2FE667A8" w14:textId="77777777" w:rsidR="00EC45B1" w:rsidRDefault="00000000">
      <w:pPr>
        <w:pStyle w:val="AoALevel3Article11"/>
        <w:widowControl w:val="0"/>
        <w:numPr>
          <w:ilvl w:val="1"/>
          <w:numId w:val="2"/>
        </w:numPr>
        <w:spacing w:after="0"/>
        <w:ind w:left="426" w:hanging="426"/>
        <w:contextualSpacing/>
        <w:rPr>
          <w:rFonts w:cstheme="minorHAnsi"/>
        </w:rPr>
      </w:pPr>
      <w:r>
        <w:rPr>
          <w:rFonts w:cstheme="minorHAnsi"/>
        </w:rPr>
        <w:t>The board of managers may transfer the Company's registered office within the same municipality or to any other municipality in the Grand Duchy of Luxembourg and amend these articles accordingly.</w:t>
      </w:r>
    </w:p>
    <w:p w14:paraId="3523655C" w14:textId="77777777" w:rsidR="00EC45B1" w:rsidRDefault="00000000">
      <w:pPr>
        <w:pStyle w:val="AoALevel3Article11"/>
        <w:widowControl w:val="0"/>
        <w:numPr>
          <w:ilvl w:val="2"/>
          <w:numId w:val="52"/>
        </w:numPr>
        <w:spacing w:after="0"/>
        <w:ind w:left="426" w:hanging="426"/>
        <w:contextualSpacing/>
        <w:rPr>
          <w:rFonts w:cstheme="minorHAnsi"/>
        </w:rPr>
      </w:pPr>
      <w:r>
        <w:rPr>
          <w:rFonts w:cstheme="minorHAnsi"/>
        </w:rPr>
        <w:t>Branches or offices can be created, both in the Grand Duchy of Luxembourg and abroad, by decision of the board of managers.</w:t>
      </w:r>
    </w:p>
    <w:p w14:paraId="29F43F48" w14:textId="77777777" w:rsidR="00EC45B1" w:rsidRDefault="00000000">
      <w:pPr>
        <w:pStyle w:val="AoALevel3Article11"/>
        <w:widowControl w:val="0"/>
        <w:numPr>
          <w:ilvl w:val="2"/>
          <w:numId w:val="53"/>
        </w:numPr>
        <w:spacing w:after="0"/>
        <w:ind w:left="426" w:hanging="426"/>
        <w:contextualSpacing/>
        <w:rPr>
          <w:rFonts w:cstheme="minorHAnsi"/>
        </w:rPr>
      </w:pPr>
      <w:r>
        <w:rPr>
          <w:rFonts w:cstheme="minorHAnsi"/>
        </w:rPr>
        <w:t xml:space="preserve">In the event that the board of managers considers that exceptional events of political, economic or social nature or natural disasters have occurred or are imminent, likely to interfere with the normal activity of the Company at its registered office, it may temporarily transfer the registered office abroad until such exceptional circumstances have completely stopped; these temporary measures will however have no effect on the nationality of the Company, which, notwithstanding this temporary transfer, will remain a </w:t>
      </w:r>
      <w:r>
        <w:rPr>
          <w:rFonts w:cstheme="minorHAnsi"/>
        </w:rPr>
        <w:lastRenderedPageBreak/>
        <w:t>Luxembourg company.</w:t>
      </w:r>
    </w:p>
    <w:p w14:paraId="1A2C843A" w14:textId="77777777" w:rsidR="00EC45B1" w:rsidRDefault="00000000">
      <w:pPr>
        <w:pStyle w:val="StyleAoALevel1ABCNotBoldNotAllcaps"/>
        <w:keepNext w:val="0"/>
        <w:widowControl w:val="0"/>
        <w:numPr>
          <w:ilvl w:val="0"/>
          <w:numId w:val="54"/>
        </w:numPr>
        <w:pBdr>
          <w:bottom w:val="single" w:sz="6" w:space="4" w:color="1F4E5F"/>
        </w:pBdr>
        <w:tabs>
          <w:tab w:val="clear" w:pos="680"/>
          <w:tab w:val="left" w:pos="426"/>
          <w:tab w:val="left" w:pos="1701"/>
        </w:tabs>
        <w:spacing w:before="360" w:after="240"/>
        <w:ind w:left="677" w:hanging="677"/>
        <w:contextualSpacing/>
        <w:rPr>
          <w:rFonts w:cstheme="minorHAnsi"/>
          <w:lang w:val="en-GB"/>
        </w:rPr>
      </w:pPr>
      <w:r>
        <w:rPr>
          <w:rFonts w:cstheme="minorHAnsi"/>
          <w:lang w:val="en-GB"/>
        </w:rPr>
        <w:t>SHARE CAPITAL – SHARES</w:t>
      </w:r>
    </w:p>
    <w:p w14:paraId="38D95B18" w14:textId="77777777" w:rsidR="00EC45B1"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Article 5</w:t>
      </w:r>
      <w:r>
        <w:rPr>
          <w:rFonts w:cstheme="minorHAnsi"/>
        </w:rPr>
        <w:tab/>
      </w:r>
      <w:r>
        <w:rPr>
          <w:rFonts w:cstheme="minorHAnsi"/>
        </w:rPr>
        <w:tab/>
        <w:t>Corporate capital</w:t>
      </w:r>
    </w:p>
    <w:p w14:paraId="05888023" w14:textId="77777777" w:rsidR="00EC45B1" w:rsidRDefault="00000000">
      <w:pPr>
        <w:widowControl w:val="0"/>
        <w:tabs>
          <w:tab w:val="left" w:pos="1134"/>
        </w:tabs>
        <w:contextualSpacing/>
        <w:jc w:val="both"/>
        <w:rPr>
          <w:rFonts w:cstheme="minorHAnsi"/>
          <w:i/>
          <w:iCs/>
          <w:highlight w:val="cyan"/>
          <w:lang w:val="en-GB"/>
        </w:rPr>
      </w:pPr>
      <w:r>
        <w:rPr>
          <w:rFonts w:cstheme="minorHAnsi"/>
          <w:b/>
          <w:bCs/>
          <w:i/>
          <w:iCs/>
          <w:highlight w:val="cyan"/>
          <w:lang w:val="en-GB"/>
        </w:rPr>
        <w:t>Examples of corporate capital:</w:t>
      </w:r>
    </w:p>
    <w:p w14:paraId="60A87F14" w14:textId="77777777" w:rsidR="00EC45B1" w:rsidRDefault="00EC45B1">
      <w:pPr>
        <w:rPr>
          <w:lang w:val="en-GB"/>
        </w:rPr>
      </w:pPr>
    </w:p>
    <w:p w14:paraId="3B1FFD3B" w14:textId="77777777" w:rsidR="00EC45B1" w:rsidRDefault="00000000">
      <w:pPr>
        <w:widowControl w:val="0"/>
        <w:tabs>
          <w:tab w:val="left" w:pos="1134"/>
        </w:tabs>
        <w:contextualSpacing/>
        <w:jc w:val="both"/>
        <w:rPr>
          <w:rFonts w:cstheme="minorHAnsi"/>
          <w:i/>
          <w:iCs/>
          <w:highlight w:val="cyan"/>
          <w:lang w:val="en-GB"/>
        </w:rPr>
      </w:pPr>
      <w:r>
        <w:rPr>
          <w:rFonts w:cstheme="minorHAnsi"/>
          <w:i/>
          <w:iCs/>
          <w:highlight w:val="cyan"/>
          <w:lang w:val="en-GB"/>
        </w:rPr>
        <w:t>Standard provision - Minimum capital – ordinary shares:</w:t>
      </w:r>
    </w:p>
    <w:p w14:paraId="5542878A"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bCs w:val="0"/>
          <w:lang w:val="en-US"/>
        </w:rPr>
        <w:t>5.1</w:t>
      </w:r>
      <w:r>
        <w:rPr>
          <w:rFonts w:cstheme="minorHAnsi"/>
          <w:bCs w:val="0"/>
          <w:lang w:val="en-US"/>
        </w:rPr>
        <w:tab/>
        <w:t>The corporate capital of the Company is fixed at twelve thousand Euro (EUR 12,000), represented by [</w:t>
      </w:r>
      <w:r>
        <w:rPr>
          <w:rFonts w:cstheme="minorHAnsi"/>
          <w:highlight w:val="yellow"/>
        </w:rPr>
        <w:t>quantity</w:t>
      </w:r>
      <w:r>
        <w:rPr>
          <w:rFonts w:cstheme="minorHAnsi"/>
          <w:bCs w:val="0"/>
          <w:highlight w:val="yellow"/>
          <w:lang w:val="en-US"/>
        </w:rPr>
        <w:t xml:space="preserve"> in letters</w:t>
      </w:r>
      <w:r>
        <w:rPr>
          <w:rFonts w:cstheme="minorHAnsi"/>
          <w:bCs w:val="0"/>
          <w:lang w:val="en-US"/>
        </w:rPr>
        <w:t xml:space="preserve">] </w:t>
      </w:r>
      <w:r>
        <w:rPr>
          <w:rFonts w:cstheme="minorHAnsi"/>
          <w:bCs w:val="0"/>
        </w:rPr>
        <w:t>(</w:t>
      </w:r>
      <w:r>
        <w:rPr>
          <w:rFonts w:cstheme="minorHAnsi"/>
          <w:bCs w:val="0"/>
          <w:lang w:val="en-US"/>
        </w:rPr>
        <w:t>[</w:t>
      </w:r>
      <w:r>
        <w:rPr>
          <w:rFonts w:cstheme="minorHAnsi"/>
          <w:highlight w:val="yellow"/>
        </w:rPr>
        <w:t>quantity</w:t>
      </w:r>
      <w:r>
        <w:rPr>
          <w:rFonts w:cstheme="minorHAnsi"/>
          <w:bCs w:val="0"/>
          <w:highlight w:val="yellow"/>
          <w:lang w:val="en-US"/>
        </w:rPr>
        <w:t xml:space="preserve"> in</w:t>
      </w:r>
      <w:r>
        <w:rPr>
          <w:rFonts w:cstheme="minorHAnsi"/>
          <w:bCs w:val="0"/>
          <w:lang w:val="en-US"/>
        </w:rPr>
        <w:t xml:space="preserve"> </w:t>
      </w:r>
      <w:r>
        <w:rPr>
          <w:rFonts w:cstheme="minorHAnsi"/>
          <w:bCs w:val="0"/>
          <w:highlight w:val="yellow"/>
          <w:lang w:val="en-US"/>
        </w:rPr>
        <w:t>figures</w:t>
      </w:r>
      <w:r>
        <w:rPr>
          <w:rFonts w:cstheme="minorHAnsi"/>
          <w:bCs w:val="0"/>
          <w:lang w:val="en-US"/>
        </w:rPr>
        <w:t>]</w:t>
      </w:r>
      <w:r>
        <w:rPr>
          <w:rFonts w:cstheme="minorHAnsi"/>
          <w:bCs w:val="0"/>
        </w:rPr>
        <w:t>)</w:t>
      </w:r>
      <w:r>
        <w:rPr>
          <w:rFonts w:cstheme="minorHAnsi"/>
          <w:bCs w:val="0"/>
          <w:lang w:val="en-US"/>
        </w:rPr>
        <w:t xml:space="preserve"> shares with a nominal value of Euro [</w:t>
      </w:r>
      <w:r>
        <w:rPr>
          <w:rFonts w:cstheme="minorHAnsi"/>
          <w:bCs w:val="0"/>
          <w:highlight w:val="yellow"/>
          <w:lang w:val="en-US"/>
        </w:rPr>
        <w:t>value in letters</w:t>
      </w:r>
      <w:r>
        <w:rPr>
          <w:rFonts w:cstheme="minorHAnsi"/>
          <w:bCs w:val="0"/>
          <w:lang w:val="en-US"/>
        </w:rPr>
        <w:t>]</w:t>
      </w:r>
      <w:r>
        <w:rPr>
          <w:rFonts w:cstheme="minorHAnsi"/>
          <w:bCs w:val="0"/>
        </w:rPr>
        <w:t xml:space="preserve"> (</w:t>
      </w:r>
      <w:r>
        <w:rPr>
          <w:rFonts w:cstheme="minorHAnsi"/>
          <w:bCs w:val="0"/>
          <w:lang w:val="en-US"/>
        </w:rPr>
        <w:t>EUR [</w:t>
      </w:r>
      <w:r>
        <w:rPr>
          <w:rFonts w:cstheme="minorHAnsi"/>
          <w:bCs w:val="0"/>
          <w:highlight w:val="yellow"/>
          <w:lang w:val="en-US"/>
        </w:rPr>
        <w:t>value in</w:t>
      </w:r>
      <w:r>
        <w:rPr>
          <w:rFonts w:cstheme="minorHAnsi"/>
          <w:bCs w:val="0"/>
          <w:lang w:val="en-US"/>
        </w:rPr>
        <w:t xml:space="preserve"> </w:t>
      </w:r>
      <w:r>
        <w:rPr>
          <w:rFonts w:cstheme="minorHAnsi"/>
          <w:bCs w:val="0"/>
          <w:highlight w:val="yellow"/>
          <w:lang w:val="en-US"/>
        </w:rPr>
        <w:t>figures</w:t>
      </w:r>
      <w:r>
        <w:rPr>
          <w:rFonts w:cstheme="minorHAnsi"/>
          <w:bCs w:val="0"/>
          <w:lang w:val="en-US"/>
        </w:rPr>
        <w:t>]</w:t>
      </w:r>
      <w:r>
        <w:rPr>
          <w:rFonts w:cstheme="minorHAnsi"/>
          <w:bCs w:val="0"/>
        </w:rPr>
        <w:t>)</w:t>
      </w:r>
      <w:r>
        <w:rPr>
          <w:rFonts w:cstheme="minorHAnsi"/>
          <w:bCs w:val="0"/>
          <w:lang w:val="en-US"/>
        </w:rPr>
        <w:t xml:space="preserve"> each.</w:t>
      </w:r>
    </w:p>
    <w:p w14:paraId="7456A16E"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5.2</w:t>
      </w:r>
      <w:r>
        <w:rPr>
          <w:rFonts w:cstheme="minorHAnsi"/>
        </w:rPr>
        <w:tab/>
        <w:t>The Company's share capital may be increased or reduced by a decision of the general meeting of the Company's partners, adopted in accordance with the conditions required for amending these articles.</w:t>
      </w:r>
    </w:p>
    <w:p w14:paraId="3A7BF32B"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5.3</w:t>
      </w:r>
      <w:r>
        <w:rPr>
          <w:rFonts w:cstheme="minorHAnsi"/>
        </w:rPr>
        <w:tab/>
        <w:t xml:space="preserve">The Company may redeem its own shares under the conditions provided for by law. </w:t>
      </w:r>
    </w:p>
    <w:p w14:paraId="402C9C5A"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5.4</w:t>
      </w:r>
      <w:r>
        <w:rPr>
          <w:rFonts w:cstheme="minorHAnsi"/>
        </w:rPr>
        <w:tab/>
        <w:t>The board of managers is authorized to cancel corporate shares held by the Company and to proceed to the corresponding capital reduction.</w:t>
      </w:r>
    </w:p>
    <w:p w14:paraId="0A76F979"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5.5</w:t>
      </w:r>
      <w:r>
        <w:rPr>
          <w:rFonts w:cstheme="minorHAnsi"/>
        </w:rPr>
        <w:tab/>
      </w:r>
      <w:r>
        <w:rPr>
          <w:rStyle w:val="FootnoteReference"/>
          <w:rFonts w:cstheme="minorHAnsi"/>
        </w:rPr>
        <w:footnoteReference w:id="3"/>
      </w:r>
      <w:r>
        <w:rPr>
          <w:rFonts w:cstheme="minorHAnsi"/>
          <w:bCs w:val="0"/>
        </w:rPr>
        <w:t>The cash contribution corresponding to the minimum share capital of EUR 12,000 may be paid up in full at incorporation or, in whole or in part, on a deferred basis within twelve (12) months of incorporation in accordance with the timetable set out below: [</w:t>
      </w:r>
      <w:r>
        <w:rPr>
          <w:rFonts w:cstheme="minorHAnsi"/>
          <w:bCs w:val="0"/>
          <w:shd w:val="clear" w:color="auto" w:fill="FFFF00"/>
        </w:rPr>
        <w:t>timetable</w:t>
      </w:r>
      <w:r>
        <w:rPr>
          <w:rFonts w:cstheme="minorHAnsi"/>
          <w:bCs w:val="0"/>
        </w:rPr>
        <w:t>]. Any amount exceeding EUR 12,000, any share premium, any contribution in kind and any capital issued upon a subsequent increase must be paid up in full and immediately. Calls for payment of any deferred amount fall within the competence of the sole manager or, as the case may be, the board of managers, which notifies each shareholder concerned of the amount called and the due date at least [</w:t>
      </w:r>
      <w:r>
        <w:rPr>
          <w:rFonts w:cstheme="minorHAnsi"/>
          <w:bCs w:val="0"/>
          <w:shd w:val="clear" w:color="auto" w:fill="FFFF00"/>
        </w:rPr>
        <w:t>number</w:t>
      </w:r>
      <w:r>
        <w:rPr>
          <w:rFonts w:cstheme="minorHAnsi"/>
          <w:bCs w:val="0"/>
        </w:rPr>
        <w:t xml:space="preserve">] days in advance; a shareholder failing to pay a validly called amount when due has the voting rights attached to the unpaid shares suspended until full payment. For as long as the capital is not fully paid up, the shareholders concerned and the amounts remaining due are disclosed in accordance with the Law, including after the balance sheet in the annual accounts. </w:t>
      </w:r>
    </w:p>
    <w:p w14:paraId="114D4318" w14:textId="77777777" w:rsidR="00EC45B1" w:rsidRDefault="00EC45B1">
      <w:pPr>
        <w:rPr>
          <w:rFonts w:cstheme="minorHAnsi"/>
          <w:bCs/>
          <w:lang w:val="en-GB"/>
        </w:rPr>
      </w:pPr>
    </w:p>
    <w:p w14:paraId="5C13A2AB" w14:textId="77777777" w:rsidR="00EC45B1" w:rsidRDefault="00000000">
      <w:pPr>
        <w:widowControl w:val="0"/>
        <w:tabs>
          <w:tab w:val="left" w:pos="1134"/>
        </w:tabs>
        <w:contextualSpacing/>
        <w:jc w:val="both"/>
        <w:rPr>
          <w:rFonts w:cstheme="minorHAnsi"/>
          <w:i/>
          <w:iCs/>
          <w:highlight w:val="cyan"/>
          <w:lang w:val="en-GB"/>
        </w:rPr>
      </w:pPr>
      <w:r>
        <w:rPr>
          <w:rFonts w:cstheme="minorHAnsi"/>
          <w:i/>
          <w:iCs/>
          <w:highlight w:val="cyan"/>
          <w:lang w:val="en-GB"/>
        </w:rPr>
        <w:t>Example of Share capital with classes of shares, capital surplus and authorised capital (the latter being optional)</w:t>
      </w:r>
      <w:r>
        <w:rPr>
          <w:rStyle w:val="FootnoteReference"/>
          <w:rFonts w:cstheme="minorHAnsi"/>
          <w:i/>
          <w:iCs/>
          <w:highlight w:val="cyan"/>
          <w:lang w:val="en-GB"/>
        </w:rPr>
        <w:footnoteReference w:id="4"/>
      </w:r>
      <w:r>
        <w:rPr>
          <w:rFonts w:cstheme="minorHAnsi"/>
          <w:i/>
          <w:iCs/>
          <w:highlight w:val="cyan"/>
          <w:lang w:val="en-GB"/>
        </w:rPr>
        <w:t>:</w:t>
      </w:r>
    </w:p>
    <w:p w14:paraId="785467BD" w14:textId="77777777" w:rsidR="00EC45B1" w:rsidRPr="009F31F7"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5.1</w:t>
      </w:r>
      <w:r>
        <w:rPr>
          <w:rFonts w:cstheme="minorHAnsi"/>
        </w:rPr>
        <w:tab/>
      </w:r>
      <w:r>
        <w:rPr>
          <w:rFonts w:cstheme="minorHAnsi"/>
          <w:highlight w:val="cyan"/>
        </w:rPr>
        <w:t>[</w:t>
      </w:r>
      <w:r>
        <w:rPr>
          <w:rFonts w:cstheme="minorHAnsi"/>
        </w:rPr>
        <w:t xml:space="preserve">The share capital is fixed at twelve thousand nine hundred Euros (EUR 12,900.00) divided into one </w:t>
      </w:r>
      <w:r w:rsidRPr="009F31F7">
        <w:rPr>
          <w:rFonts w:cstheme="minorHAnsi"/>
        </w:rPr>
        <w:t>million two hundred ninety thousand (1,290,000) shares having a nominal value of one Euro cent (EUR 0.01) each, and divided into:</w:t>
      </w:r>
    </w:p>
    <w:p w14:paraId="591CB3E5" w14:textId="77777777" w:rsidR="00EC45B1" w:rsidRPr="009F31F7" w:rsidRDefault="00000000">
      <w:pPr>
        <w:widowControl w:val="0"/>
        <w:numPr>
          <w:ilvl w:val="0"/>
          <w:numId w:val="6"/>
        </w:numPr>
        <w:ind w:left="1483" w:hanging="864"/>
        <w:jc w:val="both"/>
        <w:rPr>
          <w:rFonts w:cstheme="minorHAnsi"/>
          <w:sz w:val="22"/>
          <w:szCs w:val="22"/>
          <w:lang w:val="en-GB"/>
        </w:rPr>
      </w:pPr>
      <w:r w:rsidRPr="009F31F7">
        <w:rPr>
          <w:rFonts w:cstheme="minorHAnsi"/>
          <w:sz w:val="22"/>
          <w:szCs w:val="22"/>
          <w:lang w:val="en-GB"/>
        </w:rPr>
        <w:t>one million two hundred thousand (1,200,000) shares of class A (the “</w:t>
      </w:r>
      <w:r w:rsidRPr="009F31F7">
        <w:rPr>
          <w:rFonts w:cstheme="minorHAnsi"/>
          <w:b/>
          <w:sz w:val="22"/>
          <w:szCs w:val="22"/>
          <w:lang w:val="en-GB"/>
        </w:rPr>
        <w:t>Class A Shares</w:t>
      </w:r>
      <w:r w:rsidRPr="009F31F7">
        <w:rPr>
          <w:rFonts w:cstheme="minorHAnsi"/>
          <w:sz w:val="22"/>
          <w:szCs w:val="22"/>
          <w:lang w:val="en-GB"/>
        </w:rPr>
        <w:t>”);</w:t>
      </w:r>
    </w:p>
    <w:p w14:paraId="3D2E4A4F" w14:textId="77777777" w:rsidR="00EC45B1" w:rsidRPr="009F31F7" w:rsidRDefault="00000000">
      <w:pPr>
        <w:widowControl w:val="0"/>
        <w:numPr>
          <w:ilvl w:val="0"/>
          <w:numId w:val="6"/>
        </w:numPr>
        <w:ind w:left="1483" w:hanging="864"/>
        <w:jc w:val="both"/>
        <w:rPr>
          <w:rFonts w:cstheme="minorHAnsi"/>
          <w:sz w:val="22"/>
          <w:szCs w:val="22"/>
          <w:lang w:val="en-GB"/>
        </w:rPr>
      </w:pPr>
      <w:r w:rsidRPr="009F31F7">
        <w:rPr>
          <w:rFonts w:cstheme="minorHAnsi"/>
          <w:sz w:val="22"/>
          <w:szCs w:val="22"/>
          <w:lang w:val="en-GB"/>
        </w:rPr>
        <w:t>ten thousand (10,000) shares of class B (the “</w:t>
      </w:r>
      <w:r w:rsidRPr="009F31F7">
        <w:rPr>
          <w:rFonts w:cstheme="minorHAnsi"/>
          <w:b/>
          <w:sz w:val="22"/>
          <w:szCs w:val="22"/>
          <w:lang w:val="en-GB"/>
        </w:rPr>
        <w:t>Class B Shares</w:t>
      </w:r>
      <w:r w:rsidRPr="009F31F7">
        <w:rPr>
          <w:rFonts w:cstheme="minorHAnsi"/>
          <w:sz w:val="22"/>
          <w:szCs w:val="22"/>
          <w:lang w:val="en-GB"/>
        </w:rPr>
        <w:t>”);</w:t>
      </w:r>
    </w:p>
    <w:p w14:paraId="33E584AD" w14:textId="77777777" w:rsidR="00EC45B1" w:rsidRPr="009F31F7" w:rsidRDefault="00000000">
      <w:pPr>
        <w:widowControl w:val="0"/>
        <w:numPr>
          <w:ilvl w:val="0"/>
          <w:numId w:val="6"/>
        </w:numPr>
        <w:ind w:left="1483" w:hanging="864"/>
        <w:jc w:val="both"/>
        <w:rPr>
          <w:rFonts w:cstheme="minorHAnsi"/>
          <w:sz w:val="22"/>
          <w:szCs w:val="22"/>
          <w:lang w:val="en-GB"/>
        </w:rPr>
      </w:pPr>
      <w:r w:rsidRPr="009F31F7">
        <w:rPr>
          <w:rFonts w:cstheme="minorHAnsi"/>
          <w:sz w:val="22"/>
          <w:szCs w:val="22"/>
          <w:lang w:val="en-GB"/>
        </w:rPr>
        <w:t>ten thousand (10,000) shares of class C (the “</w:t>
      </w:r>
      <w:r w:rsidRPr="009F31F7">
        <w:rPr>
          <w:rFonts w:cstheme="minorHAnsi"/>
          <w:b/>
          <w:sz w:val="22"/>
          <w:szCs w:val="22"/>
          <w:lang w:val="en-GB"/>
        </w:rPr>
        <w:t>Class C Shares</w:t>
      </w:r>
      <w:r w:rsidRPr="009F31F7">
        <w:rPr>
          <w:rFonts w:cstheme="minorHAnsi"/>
          <w:sz w:val="22"/>
          <w:szCs w:val="22"/>
          <w:lang w:val="en-GB"/>
        </w:rPr>
        <w:t>”);</w:t>
      </w:r>
    </w:p>
    <w:p w14:paraId="071FC1BC" w14:textId="77777777" w:rsidR="00EC45B1" w:rsidRPr="009F31F7" w:rsidRDefault="00000000">
      <w:pPr>
        <w:widowControl w:val="0"/>
        <w:numPr>
          <w:ilvl w:val="0"/>
          <w:numId w:val="6"/>
        </w:numPr>
        <w:ind w:left="1483" w:hanging="864"/>
        <w:jc w:val="both"/>
        <w:rPr>
          <w:rFonts w:cstheme="minorHAnsi"/>
          <w:sz w:val="22"/>
          <w:szCs w:val="22"/>
          <w:lang w:val="en-GB"/>
        </w:rPr>
      </w:pPr>
      <w:r w:rsidRPr="009F31F7">
        <w:rPr>
          <w:rFonts w:cstheme="minorHAnsi"/>
          <w:sz w:val="22"/>
          <w:szCs w:val="22"/>
          <w:lang w:val="en-GB"/>
        </w:rPr>
        <w:t>ten thousand (10,000) shares of class D (the “</w:t>
      </w:r>
      <w:r w:rsidRPr="009F31F7">
        <w:rPr>
          <w:rFonts w:cstheme="minorHAnsi"/>
          <w:b/>
          <w:sz w:val="22"/>
          <w:szCs w:val="22"/>
          <w:lang w:val="en-GB"/>
        </w:rPr>
        <w:t>Class D Shares</w:t>
      </w:r>
      <w:r w:rsidRPr="009F31F7">
        <w:rPr>
          <w:rFonts w:cstheme="minorHAnsi"/>
          <w:sz w:val="22"/>
          <w:szCs w:val="22"/>
          <w:lang w:val="en-GB"/>
        </w:rPr>
        <w:t>”);</w:t>
      </w:r>
    </w:p>
    <w:p w14:paraId="6857F773" w14:textId="77777777" w:rsidR="00EC45B1" w:rsidRPr="009F31F7" w:rsidRDefault="00000000">
      <w:pPr>
        <w:widowControl w:val="0"/>
        <w:numPr>
          <w:ilvl w:val="0"/>
          <w:numId w:val="6"/>
        </w:numPr>
        <w:ind w:left="1483" w:hanging="864"/>
        <w:jc w:val="both"/>
        <w:rPr>
          <w:rFonts w:cstheme="minorHAnsi"/>
          <w:sz w:val="22"/>
          <w:szCs w:val="22"/>
          <w:lang w:val="en-GB"/>
        </w:rPr>
      </w:pPr>
      <w:r w:rsidRPr="009F31F7">
        <w:rPr>
          <w:rFonts w:cstheme="minorHAnsi"/>
          <w:sz w:val="22"/>
          <w:szCs w:val="22"/>
          <w:lang w:val="en-GB"/>
        </w:rPr>
        <w:t>ten thousand (10,000) shares of class E (the “</w:t>
      </w:r>
      <w:r w:rsidRPr="009F31F7">
        <w:rPr>
          <w:rFonts w:cstheme="minorHAnsi"/>
          <w:b/>
          <w:sz w:val="22"/>
          <w:szCs w:val="22"/>
          <w:lang w:val="en-GB"/>
        </w:rPr>
        <w:t>Class E Shares</w:t>
      </w:r>
      <w:r w:rsidRPr="009F31F7">
        <w:rPr>
          <w:rFonts w:cstheme="minorHAnsi"/>
          <w:sz w:val="22"/>
          <w:szCs w:val="22"/>
          <w:lang w:val="en-GB"/>
        </w:rPr>
        <w:t>”);</w:t>
      </w:r>
    </w:p>
    <w:p w14:paraId="11BCF2C9" w14:textId="77777777" w:rsidR="00EC45B1" w:rsidRPr="009F31F7" w:rsidRDefault="00000000">
      <w:pPr>
        <w:widowControl w:val="0"/>
        <w:numPr>
          <w:ilvl w:val="0"/>
          <w:numId w:val="6"/>
        </w:numPr>
        <w:ind w:left="1483" w:hanging="864"/>
        <w:jc w:val="both"/>
        <w:rPr>
          <w:rFonts w:cstheme="minorHAnsi"/>
          <w:sz w:val="22"/>
          <w:szCs w:val="22"/>
          <w:lang w:val="en-GB"/>
        </w:rPr>
      </w:pPr>
      <w:r w:rsidRPr="009F31F7">
        <w:rPr>
          <w:rFonts w:cstheme="minorHAnsi"/>
          <w:sz w:val="22"/>
          <w:szCs w:val="22"/>
          <w:lang w:val="en-GB"/>
        </w:rPr>
        <w:t>ten thousand (10,000) shares of class F (the “</w:t>
      </w:r>
      <w:r w:rsidRPr="009F31F7">
        <w:rPr>
          <w:rFonts w:cstheme="minorHAnsi"/>
          <w:b/>
          <w:sz w:val="22"/>
          <w:szCs w:val="22"/>
          <w:lang w:val="en-GB"/>
        </w:rPr>
        <w:t>Class F Shares</w:t>
      </w:r>
      <w:r w:rsidRPr="009F31F7">
        <w:rPr>
          <w:rFonts w:cstheme="minorHAnsi"/>
          <w:sz w:val="22"/>
          <w:szCs w:val="22"/>
          <w:lang w:val="en-GB"/>
        </w:rPr>
        <w:t>”);</w:t>
      </w:r>
    </w:p>
    <w:p w14:paraId="18BAD41A" w14:textId="77777777" w:rsidR="00EC45B1" w:rsidRPr="009F31F7" w:rsidRDefault="00000000">
      <w:pPr>
        <w:widowControl w:val="0"/>
        <w:numPr>
          <w:ilvl w:val="0"/>
          <w:numId w:val="6"/>
        </w:numPr>
        <w:ind w:left="1483" w:hanging="864"/>
        <w:jc w:val="both"/>
        <w:rPr>
          <w:rFonts w:cstheme="minorHAnsi"/>
          <w:sz w:val="22"/>
          <w:szCs w:val="22"/>
          <w:lang w:val="en-GB"/>
        </w:rPr>
      </w:pPr>
      <w:r w:rsidRPr="009F31F7">
        <w:rPr>
          <w:rFonts w:cstheme="minorHAnsi"/>
          <w:sz w:val="22"/>
          <w:szCs w:val="22"/>
          <w:lang w:val="en-GB"/>
        </w:rPr>
        <w:t>ten thousand (10,000) shares of class G (the “</w:t>
      </w:r>
      <w:r w:rsidRPr="009F31F7">
        <w:rPr>
          <w:rFonts w:cstheme="minorHAnsi"/>
          <w:b/>
          <w:sz w:val="22"/>
          <w:szCs w:val="22"/>
          <w:lang w:val="en-GB"/>
        </w:rPr>
        <w:t>Class G Shares</w:t>
      </w:r>
      <w:r w:rsidRPr="009F31F7">
        <w:rPr>
          <w:rFonts w:cstheme="minorHAnsi"/>
          <w:sz w:val="22"/>
          <w:szCs w:val="22"/>
          <w:lang w:val="en-GB"/>
        </w:rPr>
        <w:t>”);</w:t>
      </w:r>
    </w:p>
    <w:p w14:paraId="52679D12" w14:textId="77777777" w:rsidR="00EC45B1" w:rsidRPr="009F31F7" w:rsidRDefault="00000000">
      <w:pPr>
        <w:widowControl w:val="0"/>
        <w:numPr>
          <w:ilvl w:val="0"/>
          <w:numId w:val="6"/>
        </w:numPr>
        <w:ind w:left="1483" w:hanging="864"/>
        <w:jc w:val="both"/>
        <w:rPr>
          <w:rFonts w:cstheme="minorHAnsi"/>
          <w:sz w:val="22"/>
          <w:szCs w:val="22"/>
          <w:lang w:val="en-GB"/>
        </w:rPr>
      </w:pPr>
      <w:r w:rsidRPr="009F31F7">
        <w:rPr>
          <w:rFonts w:cstheme="minorHAnsi"/>
          <w:sz w:val="22"/>
          <w:szCs w:val="22"/>
          <w:lang w:val="en-GB"/>
        </w:rPr>
        <w:t>ten thousand (10,000) shares of class H (the “</w:t>
      </w:r>
      <w:r w:rsidRPr="009F31F7">
        <w:rPr>
          <w:rFonts w:cstheme="minorHAnsi"/>
          <w:b/>
          <w:sz w:val="22"/>
          <w:szCs w:val="22"/>
          <w:lang w:val="en-GB"/>
        </w:rPr>
        <w:t>Class H Shares</w:t>
      </w:r>
      <w:r w:rsidRPr="009F31F7">
        <w:rPr>
          <w:rFonts w:cstheme="minorHAnsi"/>
          <w:sz w:val="22"/>
          <w:szCs w:val="22"/>
          <w:lang w:val="en-GB"/>
        </w:rPr>
        <w:t>”);</w:t>
      </w:r>
    </w:p>
    <w:p w14:paraId="6C019B25" w14:textId="77777777" w:rsidR="00EC45B1" w:rsidRPr="009F31F7" w:rsidRDefault="00000000">
      <w:pPr>
        <w:widowControl w:val="0"/>
        <w:numPr>
          <w:ilvl w:val="0"/>
          <w:numId w:val="6"/>
        </w:numPr>
        <w:ind w:left="1483" w:hanging="864"/>
        <w:jc w:val="both"/>
        <w:rPr>
          <w:rFonts w:cstheme="minorHAnsi"/>
          <w:sz w:val="22"/>
          <w:szCs w:val="22"/>
          <w:lang w:val="en-GB"/>
        </w:rPr>
      </w:pPr>
      <w:r w:rsidRPr="009F31F7">
        <w:rPr>
          <w:rFonts w:cstheme="minorHAnsi"/>
          <w:sz w:val="22"/>
          <w:szCs w:val="22"/>
          <w:lang w:val="en-GB"/>
        </w:rPr>
        <w:t>ten thousand (10,000) shares of class I (the “</w:t>
      </w:r>
      <w:r w:rsidRPr="009F31F7">
        <w:rPr>
          <w:rFonts w:cstheme="minorHAnsi"/>
          <w:b/>
          <w:sz w:val="22"/>
          <w:szCs w:val="22"/>
          <w:lang w:val="en-GB"/>
        </w:rPr>
        <w:t>Class I Shares</w:t>
      </w:r>
      <w:r w:rsidRPr="009F31F7">
        <w:rPr>
          <w:rFonts w:cstheme="minorHAnsi"/>
          <w:sz w:val="22"/>
          <w:szCs w:val="22"/>
          <w:lang w:val="en-GB"/>
        </w:rPr>
        <w:t>”);</w:t>
      </w:r>
    </w:p>
    <w:p w14:paraId="14A9D1F4" w14:textId="77777777" w:rsidR="00EC45B1" w:rsidRPr="009F31F7" w:rsidRDefault="00000000">
      <w:pPr>
        <w:widowControl w:val="0"/>
        <w:numPr>
          <w:ilvl w:val="0"/>
          <w:numId w:val="6"/>
        </w:numPr>
        <w:ind w:left="1483" w:hanging="864"/>
        <w:jc w:val="both"/>
        <w:rPr>
          <w:rFonts w:cstheme="minorHAnsi"/>
          <w:sz w:val="22"/>
          <w:szCs w:val="22"/>
          <w:lang w:val="en-GB"/>
        </w:rPr>
      </w:pPr>
      <w:r w:rsidRPr="009F31F7">
        <w:rPr>
          <w:rFonts w:cstheme="minorHAnsi"/>
          <w:sz w:val="22"/>
          <w:szCs w:val="22"/>
          <w:lang w:val="en-GB"/>
        </w:rPr>
        <w:t xml:space="preserve">ten thousand (10,000) shares of class J </w:t>
      </w:r>
      <w:r w:rsidRPr="009F31F7">
        <w:rPr>
          <w:rFonts w:cstheme="minorHAnsi"/>
          <w:sz w:val="22"/>
          <w:szCs w:val="22"/>
        </w:rPr>
        <w:t>(the “</w:t>
      </w:r>
      <w:r w:rsidRPr="009F31F7">
        <w:rPr>
          <w:rFonts w:cstheme="minorHAnsi"/>
          <w:b/>
          <w:sz w:val="22"/>
          <w:szCs w:val="22"/>
        </w:rPr>
        <w:t>Class J Shares</w:t>
      </w:r>
      <w:r w:rsidRPr="009F31F7">
        <w:rPr>
          <w:rFonts w:cstheme="minorHAnsi"/>
          <w:sz w:val="22"/>
          <w:szCs w:val="22"/>
        </w:rPr>
        <w:t>”).</w:t>
      </w:r>
    </w:p>
    <w:p w14:paraId="51E84CB0" w14:textId="77777777" w:rsidR="00EC45B1" w:rsidRPr="009F31F7" w:rsidRDefault="00000000" w:rsidP="009F31F7">
      <w:pPr>
        <w:widowControl w:val="0"/>
        <w:ind w:left="709"/>
        <w:jc w:val="both"/>
        <w:rPr>
          <w:rFonts w:cstheme="minorHAnsi"/>
          <w:sz w:val="22"/>
          <w:szCs w:val="22"/>
        </w:rPr>
      </w:pPr>
      <w:r w:rsidRPr="009F31F7">
        <w:rPr>
          <w:rFonts w:cstheme="minorHAnsi"/>
          <w:sz w:val="22"/>
          <w:szCs w:val="22"/>
        </w:rPr>
        <w:t>The classes A to J shares will be defined as the “</w:t>
      </w:r>
      <w:r w:rsidRPr="009F31F7">
        <w:rPr>
          <w:rFonts w:cstheme="minorHAnsi"/>
          <w:b/>
          <w:bCs/>
          <w:sz w:val="22"/>
          <w:szCs w:val="22"/>
        </w:rPr>
        <w:t>Shares</w:t>
      </w:r>
      <w:r w:rsidRPr="009F31F7">
        <w:rPr>
          <w:rFonts w:cstheme="minorHAnsi"/>
          <w:sz w:val="22"/>
          <w:szCs w:val="22"/>
        </w:rPr>
        <w:t>”; each of the latter having the rights and obligations as defined in the Articles of Association. In the present Articles of Association, “</w:t>
      </w:r>
      <w:r w:rsidRPr="009F31F7">
        <w:rPr>
          <w:rFonts w:cstheme="minorHAnsi"/>
          <w:b/>
          <w:bCs/>
          <w:sz w:val="22"/>
          <w:szCs w:val="22"/>
        </w:rPr>
        <w:t>Shareholders</w:t>
      </w:r>
      <w:r w:rsidRPr="009F31F7">
        <w:rPr>
          <w:rFonts w:cstheme="minorHAnsi"/>
          <w:sz w:val="22"/>
          <w:szCs w:val="22"/>
        </w:rPr>
        <w:t>” means holders of Shares from time to time and "</w:t>
      </w:r>
      <w:r w:rsidRPr="009F31F7">
        <w:rPr>
          <w:rFonts w:cstheme="minorHAnsi"/>
          <w:b/>
          <w:bCs/>
          <w:sz w:val="22"/>
          <w:szCs w:val="22"/>
        </w:rPr>
        <w:t>Shareholder</w:t>
      </w:r>
      <w:r w:rsidRPr="009F31F7">
        <w:rPr>
          <w:rFonts w:cstheme="minorHAnsi"/>
          <w:sz w:val="22"/>
          <w:szCs w:val="22"/>
        </w:rPr>
        <w:t>" shall be interpreted in accordance.</w:t>
      </w:r>
    </w:p>
    <w:p w14:paraId="57D2EDFA" w14:textId="77777777" w:rsidR="00EC45B1" w:rsidRDefault="00000000" w:rsidP="009F31F7">
      <w:pPr>
        <w:pStyle w:val="AoALevel3Article11"/>
        <w:widowControl w:val="0"/>
        <w:numPr>
          <w:ilvl w:val="0"/>
          <w:numId w:val="0"/>
        </w:numPr>
        <w:tabs>
          <w:tab w:val="left" w:pos="567"/>
        </w:tabs>
        <w:spacing w:after="0"/>
        <w:ind w:left="567" w:hanging="567"/>
        <w:contextualSpacing/>
        <w:rPr>
          <w:rFonts w:cstheme="minorHAnsi"/>
        </w:rPr>
      </w:pPr>
      <w:r>
        <w:rPr>
          <w:rFonts w:cstheme="minorHAnsi"/>
        </w:rPr>
        <w:t>5.2</w:t>
      </w:r>
      <w:r>
        <w:rPr>
          <w:rFonts w:cstheme="minorHAnsi"/>
        </w:rPr>
        <w:tab/>
        <w:t xml:space="preserve">In addition to the corporate capital, a premium may be paid on the Shares which is reflected in the share </w:t>
      </w:r>
      <w:r>
        <w:rPr>
          <w:rFonts w:cstheme="minorHAnsi"/>
        </w:rPr>
        <w:lastRenderedPageBreak/>
        <w:t>premium account of the Company (the “</w:t>
      </w:r>
      <w:r>
        <w:rPr>
          <w:rFonts w:cstheme="minorHAnsi"/>
          <w:b/>
          <w:bCs w:val="0"/>
        </w:rPr>
        <w:t>Share Premium Account</w:t>
      </w:r>
      <w:r>
        <w:rPr>
          <w:rFonts w:cstheme="minorHAnsi"/>
        </w:rPr>
        <w:t>”). The Share Premium Account is not attributable to any specific class of Shares if any from time to time and may be used to finance the redemption of any class of Shares if the board of managers decides to do so.</w:t>
      </w:r>
    </w:p>
    <w:p w14:paraId="52007B31" w14:textId="77777777" w:rsidR="00EC45B1" w:rsidRDefault="00EC45B1" w:rsidP="009F31F7">
      <w:pPr>
        <w:widowControl w:val="0"/>
        <w:tabs>
          <w:tab w:val="left" w:pos="567"/>
        </w:tabs>
        <w:ind w:left="567" w:hanging="567"/>
        <w:jc w:val="both"/>
        <w:rPr>
          <w:rFonts w:cstheme="minorHAnsi"/>
        </w:rPr>
      </w:pPr>
    </w:p>
    <w:p w14:paraId="7782EBCD" w14:textId="77777777" w:rsidR="00EC45B1" w:rsidRPr="009F31F7" w:rsidRDefault="00000000" w:rsidP="009F31F7">
      <w:pPr>
        <w:widowControl w:val="0"/>
        <w:ind w:left="567"/>
        <w:jc w:val="both"/>
        <w:rPr>
          <w:rFonts w:cstheme="minorHAnsi"/>
          <w:sz w:val="22"/>
          <w:szCs w:val="22"/>
        </w:rPr>
      </w:pPr>
      <w:r w:rsidRPr="009F31F7">
        <w:rPr>
          <w:rFonts w:cstheme="minorHAnsi"/>
          <w:sz w:val="22"/>
          <w:szCs w:val="22"/>
        </w:rPr>
        <w:t>The Company may, without limitation, accept equity or other contributions without issuing Shares or other securities in</w:t>
      </w:r>
      <w:r w:rsidRPr="009F31F7">
        <w:rPr>
          <w:rFonts w:cstheme="minorHAnsi"/>
          <w:sz w:val="22"/>
          <w:szCs w:val="22"/>
          <w:lang w:val="en-GB"/>
        </w:rPr>
        <w:t xml:space="preserve"> </w:t>
      </w:r>
      <w:r w:rsidRPr="009F31F7">
        <w:rPr>
          <w:rFonts w:cstheme="minorHAnsi"/>
          <w:sz w:val="22"/>
          <w:szCs w:val="22"/>
        </w:rPr>
        <w:t>consideration for the contribution and may credit the contributions to one or more accounts (the “</w:t>
      </w:r>
      <w:r w:rsidRPr="009F31F7">
        <w:rPr>
          <w:rFonts w:cstheme="minorHAnsi"/>
          <w:b/>
          <w:bCs/>
          <w:sz w:val="22"/>
          <w:szCs w:val="22"/>
        </w:rPr>
        <w:t>Capital Surplus Accounts</w:t>
      </w:r>
      <w:r w:rsidRPr="009F31F7">
        <w:rPr>
          <w:rFonts w:cstheme="minorHAnsi"/>
          <w:sz w:val="22"/>
          <w:szCs w:val="22"/>
        </w:rPr>
        <w:t>”). Decisions as to the use of such Capital Surplus Accounts are to be taken by the Board of Managers subject to applicable law and these Articles of Association. For the avoidance of doubt, any such decision need not allocate any amount contributed to the contributor.</w:t>
      </w:r>
    </w:p>
    <w:p w14:paraId="749D11FA" w14:textId="77777777" w:rsidR="00EC45B1" w:rsidRPr="009F31F7" w:rsidRDefault="00EC45B1" w:rsidP="009F31F7">
      <w:pPr>
        <w:widowControl w:val="0"/>
        <w:ind w:left="567"/>
        <w:jc w:val="both"/>
        <w:rPr>
          <w:rFonts w:cstheme="minorHAnsi"/>
          <w:sz w:val="22"/>
          <w:szCs w:val="22"/>
        </w:rPr>
      </w:pPr>
    </w:p>
    <w:p w14:paraId="48C7A36C" w14:textId="77777777" w:rsidR="00EC45B1" w:rsidRPr="009F31F7" w:rsidRDefault="00000000" w:rsidP="009F31F7">
      <w:pPr>
        <w:widowControl w:val="0"/>
        <w:ind w:left="567"/>
        <w:jc w:val="both"/>
        <w:rPr>
          <w:rFonts w:cstheme="minorHAnsi"/>
          <w:sz w:val="22"/>
          <w:szCs w:val="22"/>
        </w:rPr>
      </w:pPr>
      <w:r w:rsidRPr="009F31F7">
        <w:rPr>
          <w:rFonts w:cstheme="minorHAnsi"/>
          <w:sz w:val="22"/>
          <w:szCs w:val="22"/>
        </w:rPr>
        <w:t xml:space="preserve">The funds in the Share Premium Account and the Capital Surplus Account may, </w:t>
      </w:r>
      <w:proofErr w:type="gramStart"/>
      <w:r w:rsidRPr="009F31F7">
        <w:rPr>
          <w:rFonts w:cstheme="minorHAnsi"/>
          <w:sz w:val="22"/>
          <w:szCs w:val="22"/>
        </w:rPr>
        <w:t>inter alia</w:t>
      </w:r>
      <w:proofErr w:type="gramEnd"/>
      <w:r w:rsidRPr="009F31F7">
        <w:rPr>
          <w:rFonts w:cstheme="minorHAnsi"/>
          <w:sz w:val="22"/>
          <w:szCs w:val="22"/>
        </w:rPr>
        <w:t>, be used by the board of managers to provide for setting off any realized or unrealized capital losses or for the payment of any dividend or other distribution.</w:t>
      </w:r>
    </w:p>
    <w:p w14:paraId="2DD54CF6" w14:textId="77777777" w:rsidR="00EC45B1" w:rsidRDefault="00EC45B1">
      <w:pPr>
        <w:widowControl w:val="0"/>
        <w:ind w:left="450"/>
        <w:jc w:val="both"/>
        <w:rPr>
          <w:rFonts w:cstheme="minorHAnsi"/>
        </w:rPr>
      </w:pPr>
    </w:p>
    <w:p w14:paraId="6AF65454" w14:textId="32D2936F"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5.3</w:t>
      </w:r>
      <w:r>
        <w:rPr>
          <w:rFonts w:cstheme="minorHAnsi"/>
        </w:rPr>
        <w:tab/>
        <w:t xml:space="preserve">The Company shall have an authorized capital of ten million Euros (EUR </w:t>
      </w:r>
      <w:r w:rsidR="009F31F7">
        <w:rPr>
          <w:rFonts w:cstheme="minorHAnsi"/>
        </w:rPr>
        <w:t>10,000,000. -</w:t>
      </w:r>
      <w:r>
        <w:rPr>
          <w:rFonts w:cstheme="minorHAnsi"/>
        </w:rPr>
        <w:t>) represented by one billion (1,000,000,000) Shares, having a nominal value of one Euro cent (EUR 0.01) each, divided into:</w:t>
      </w:r>
    </w:p>
    <w:p w14:paraId="070E07FD" w14:textId="77777777" w:rsidR="00EC45B1" w:rsidRPr="009F31F7" w:rsidRDefault="00000000">
      <w:pPr>
        <w:widowControl w:val="0"/>
        <w:numPr>
          <w:ilvl w:val="0"/>
          <w:numId w:val="8"/>
        </w:numPr>
        <w:jc w:val="both"/>
        <w:rPr>
          <w:rFonts w:cstheme="minorHAnsi"/>
          <w:sz w:val="22"/>
          <w:szCs w:val="22"/>
          <w:lang w:val="en-GB"/>
        </w:rPr>
      </w:pPr>
      <w:r w:rsidRPr="009F31F7">
        <w:rPr>
          <w:rFonts w:cstheme="minorHAnsi"/>
          <w:sz w:val="22"/>
          <w:szCs w:val="22"/>
          <w:lang w:val="en-GB"/>
        </w:rPr>
        <w:t>one hundred million (100,000,000) shares of Class A Shares;</w:t>
      </w:r>
    </w:p>
    <w:p w14:paraId="405536EC" w14:textId="77777777" w:rsidR="00EC45B1" w:rsidRPr="009F31F7" w:rsidRDefault="00000000">
      <w:pPr>
        <w:widowControl w:val="0"/>
        <w:numPr>
          <w:ilvl w:val="0"/>
          <w:numId w:val="8"/>
        </w:numPr>
        <w:jc w:val="both"/>
        <w:rPr>
          <w:rFonts w:cstheme="minorHAnsi"/>
          <w:sz w:val="22"/>
          <w:szCs w:val="22"/>
          <w:lang w:val="en-GB"/>
        </w:rPr>
      </w:pPr>
      <w:r w:rsidRPr="009F31F7">
        <w:rPr>
          <w:rFonts w:cstheme="minorHAnsi"/>
          <w:sz w:val="22"/>
          <w:szCs w:val="22"/>
          <w:lang w:val="en-GB"/>
        </w:rPr>
        <w:t>one hundred million (100,000,000) shares of Class B Shares;</w:t>
      </w:r>
    </w:p>
    <w:p w14:paraId="2028D68D" w14:textId="77777777" w:rsidR="00EC45B1" w:rsidRPr="009F31F7" w:rsidRDefault="00000000">
      <w:pPr>
        <w:widowControl w:val="0"/>
        <w:numPr>
          <w:ilvl w:val="0"/>
          <w:numId w:val="8"/>
        </w:numPr>
        <w:jc w:val="both"/>
        <w:rPr>
          <w:sz w:val="22"/>
          <w:szCs w:val="22"/>
        </w:rPr>
      </w:pPr>
      <w:r w:rsidRPr="009F31F7">
        <w:rPr>
          <w:rFonts w:cstheme="minorHAnsi"/>
          <w:sz w:val="22"/>
          <w:szCs w:val="22"/>
          <w:lang w:val="en-GB"/>
        </w:rPr>
        <w:t>one hundred million (100,000,000) shares of Class C Shares;</w:t>
      </w:r>
    </w:p>
    <w:p w14:paraId="59BB9864" w14:textId="77777777" w:rsidR="00EC45B1" w:rsidRPr="009F31F7" w:rsidRDefault="00000000">
      <w:pPr>
        <w:widowControl w:val="0"/>
        <w:numPr>
          <w:ilvl w:val="0"/>
          <w:numId w:val="8"/>
        </w:numPr>
        <w:jc w:val="both"/>
        <w:rPr>
          <w:sz w:val="22"/>
          <w:szCs w:val="22"/>
        </w:rPr>
      </w:pPr>
      <w:r w:rsidRPr="009F31F7">
        <w:rPr>
          <w:rFonts w:cstheme="minorHAnsi"/>
          <w:sz w:val="22"/>
          <w:szCs w:val="22"/>
          <w:lang w:val="en-GB"/>
        </w:rPr>
        <w:t>one hundred million (100,000,000) shares of Class D Shares;</w:t>
      </w:r>
    </w:p>
    <w:p w14:paraId="0CD224E0" w14:textId="77777777" w:rsidR="00EC45B1" w:rsidRPr="009F31F7" w:rsidRDefault="00000000">
      <w:pPr>
        <w:widowControl w:val="0"/>
        <w:numPr>
          <w:ilvl w:val="0"/>
          <w:numId w:val="8"/>
        </w:numPr>
        <w:jc w:val="both"/>
        <w:rPr>
          <w:sz w:val="22"/>
          <w:szCs w:val="22"/>
        </w:rPr>
      </w:pPr>
      <w:r w:rsidRPr="009F31F7">
        <w:rPr>
          <w:rFonts w:cstheme="minorHAnsi"/>
          <w:sz w:val="22"/>
          <w:szCs w:val="22"/>
          <w:lang w:val="en-GB"/>
        </w:rPr>
        <w:t>one hundred million (100,000,000) shares of Class E Shares;</w:t>
      </w:r>
    </w:p>
    <w:p w14:paraId="74DD521B" w14:textId="77777777" w:rsidR="00EC45B1" w:rsidRPr="009F31F7" w:rsidRDefault="00000000">
      <w:pPr>
        <w:widowControl w:val="0"/>
        <w:numPr>
          <w:ilvl w:val="0"/>
          <w:numId w:val="8"/>
        </w:numPr>
        <w:jc w:val="both"/>
        <w:rPr>
          <w:sz w:val="22"/>
          <w:szCs w:val="22"/>
        </w:rPr>
      </w:pPr>
      <w:r w:rsidRPr="009F31F7">
        <w:rPr>
          <w:rFonts w:cstheme="minorHAnsi"/>
          <w:sz w:val="22"/>
          <w:szCs w:val="22"/>
          <w:lang w:val="en-GB"/>
        </w:rPr>
        <w:t>one hundred million (100,000,000) shares of Class F Shares;</w:t>
      </w:r>
    </w:p>
    <w:p w14:paraId="69A3C081" w14:textId="77777777" w:rsidR="00EC45B1" w:rsidRPr="009F31F7" w:rsidRDefault="00000000">
      <w:pPr>
        <w:widowControl w:val="0"/>
        <w:numPr>
          <w:ilvl w:val="0"/>
          <w:numId w:val="8"/>
        </w:numPr>
        <w:jc w:val="both"/>
        <w:rPr>
          <w:sz w:val="22"/>
          <w:szCs w:val="22"/>
        </w:rPr>
      </w:pPr>
      <w:r w:rsidRPr="009F31F7">
        <w:rPr>
          <w:rFonts w:cstheme="minorHAnsi"/>
          <w:sz w:val="22"/>
          <w:szCs w:val="22"/>
          <w:lang w:val="en-GB"/>
        </w:rPr>
        <w:t>one hundred million (100,000,000) shares of Class G Shares;</w:t>
      </w:r>
    </w:p>
    <w:p w14:paraId="4A1D07E1" w14:textId="77777777" w:rsidR="00EC45B1" w:rsidRPr="009F31F7" w:rsidRDefault="00000000">
      <w:pPr>
        <w:widowControl w:val="0"/>
        <w:numPr>
          <w:ilvl w:val="0"/>
          <w:numId w:val="8"/>
        </w:numPr>
        <w:jc w:val="both"/>
        <w:rPr>
          <w:sz w:val="22"/>
          <w:szCs w:val="22"/>
        </w:rPr>
      </w:pPr>
      <w:r w:rsidRPr="009F31F7">
        <w:rPr>
          <w:rFonts w:cstheme="minorHAnsi"/>
          <w:sz w:val="22"/>
          <w:szCs w:val="22"/>
          <w:lang w:val="en-GB"/>
        </w:rPr>
        <w:t>one hundred million (100,000,000) shares of Class H Shares;</w:t>
      </w:r>
    </w:p>
    <w:p w14:paraId="56C4159C" w14:textId="77777777" w:rsidR="00EC45B1" w:rsidRPr="009F31F7" w:rsidRDefault="00000000">
      <w:pPr>
        <w:widowControl w:val="0"/>
        <w:numPr>
          <w:ilvl w:val="0"/>
          <w:numId w:val="8"/>
        </w:numPr>
        <w:jc w:val="both"/>
        <w:rPr>
          <w:sz w:val="22"/>
          <w:szCs w:val="22"/>
        </w:rPr>
      </w:pPr>
      <w:r w:rsidRPr="009F31F7">
        <w:rPr>
          <w:rFonts w:cstheme="minorHAnsi"/>
          <w:sz w:val="22"/>
          <w:szCs w:val="22"/>
          <w:lang w:val="en-GB"/>
        </w:rPr>
        <w:t>one hundred million (100,000,000) shares of Class I Shares;</w:t>
      </w:r>
    </w:p>
    <w:p w14:paraId="3B7DD777" w14:textId="77777777" w:rsidR="00EC45B1" w:rsidRPr="009F31F7" w:rsidRDefault="00000000">
      <w:pPr>
        <w:widowControl w:val="0"/>
        <w:numPr>
          <w:ilvl w:val="0"/>
          <w:numId w:val="8"/>
        </w:numPr>
        <w:jc w:val="both"/>
        <w:rPr>
          <w:sz w:val="22"/>
          <w:szCs w:val="22"/>
        </w:rPr>
      </w:pPr>
      <w:r w:rsidRPr="009F31F7">
        <w:rPr>
          <w:rFonts w:cstheme="minorHAnsi"/>
          <w:sz w:val="22"/>
          <w:szCs w:val="22"/>
          <w:lang w:val="en-GB"/>
        </w:rPr>
        <w:t>one hundred million (100,000,000) shares of Class J Shares</w:t>
      </w:r>
      <w:r w:rsidRPr="009F31F7">
        <w:rPr>
          <w:rFonts w:cstheme="minorHAnsi"/>
          <w:i/>
          <w:sz w:val="22"/>
          <w:szCs w:val="22"/>
          <w:lang w:val="en-GB"/>
        </w:rPr>
        <w:t>.</w:t>
      </w:r>
    </w:p>
    <w:p w14:paraId="65BFC93E" w14:textId="77777777" w:rsidR="00EC45B1" w:rsidRDefault="00EC45B1">
      <w:pPr>
        <w:widowControl w:val="0"/>
        <w:ind w:firstLine="709"/>
        <w:jc w:val="both"/>
        <w:rPr>
          <w:rFonts w:cstheme="minorHAnsi"/>
          <w:lang w:val="en-GB"/>
        </w:rPr>
      </w:pPr>
    </w:p>
    <w:p w14:paraId="099847A3" w14:textId="77777777" w:rsidR="00EC45B1" w:rsidRPr="009F31F7" w:rsidRDefault="00000000">
      <w:pPr>
        <w:widowControl w:val="0"/>
        <w:ind w:firstLine="540"/>
        <w:jc w:val="both"/>
        <w:rPr>
          <w:rFonts w:cstheme="minorHAnsi"/>
          <w:sz w:val="22"/>
          <w:szCs w:val="22"/>
          <w:lang w:val="en-GB"/>
        </w:rPr>
      </w:pPr>
      <w:r w:rsidRPr="009F31F7">
        <w:rPr>
          <w:rFonts w:cstheme="minorHAnsi"/>
          <w:sz w:val="22"/>
          <w:szCs w:val="22"/>
          <w:lang w:val="en-GB"/>
        </w:rPr>
        <w:t>The board of managers is authorised and appointed:</w:t>
      </w:r>
    </w:p>
    <w:p w14:paraId="3200F236" w14:textId="77777777" w:rsidR="00EC45B1" w:rsidRPr="009F31F7" w:rsidRDefault="00000000" w:rsidP="009F31F7">
      <w:pPr>
        <w:widowControl w:val="0"/>
        <w:numPr>
          <w:ilvl w:val="0"/>
          <w:numId w:val="9"/>
        </w:numPr>
        <w:ind w:left="1276" w:hanging="286"/>
        <w:jc w:val="both"/>
        <w:rPr>
          <w:rFonts w:cstheme="minorHAnsi"/>
          <w:sz w:val="22"/>
          <w:szCs w:val="22"/>
          <w:lang w:val="en-GB"/>
        </w:rPr>
      </w:pPr>
      <w:r w:rsidRPr="009F31F7">
        <w:rPr>
          <w:rFonts w:cstheme="minorHAnsi"/>
          <w:sz w:val="22"/>
          <w:szCs w:val="22"/>
          <w:lang w:val="en-GB"/>
        </w:rPr>
        <w:t>to increase from time to time the subscribed capital of the Company within the limits of the authorised capital, at once or by successive portions, by issuance of new Shares with or without share premium, to be paid up in cash, by contribution in kind, by conversion of Shareholders' claims, by conversion of convertible preferred equity certificates or other convertible notes or similar instruments or, upon approval of the annual general meeting of Shareholders, by incorporation of profits or reserves into capital;</w:t>
      </w:r>
    </w:p>
    <w:p w14:paraId="6958CBB8" w14:textId="77777777" w:rsidR="00EC45B1" w:rsidRPr="009F31F7" w:rsidRDefault="00000000" w:rsidP="009F31F7">
      <w:pPr>
        <w:widowControl w:val="0"/>
        <w:numPr>
          <w:ilvl w:val="0"/>
          <w:numId w:val="9"/>
        </w:numPr>
        <w:ind w:left="1276" w:hanging="286"/>
        <w:jc w:val="both"/>
        <w:rPr>
          <w:rFonts w:cstheme="minorHAnsi"/>
          <w:sz w:val="22"/>
          <w:szCs w:val="22"/>
          <w:lang w:val="en-GB"/>
        </w:rPr>
      </w:pPr>
      <w:r w:rsidRPr="009F31F7">
        <w:rPr>
          <w:rFonts w:cstheme="minorHAnsi"/>
          <w:sz w:val="22"/>
          <w:szCs w:val="22"/>
          <w:lang w:val="en-GB"/>
        </w:rPr>
        <w:t>to determine the place and the date of the issuance or of the successive issuances, the terms and conditions of subscription and payment of the additional Shares.</w:t>
      </w:r>
    </w:p>
    <w:p w14:paraId="0E8C4456" w14:textId="77777777" w:rsidR="00EC45B1" w:rsidRPr="009F31F7" w:rsidRDefault="00EC45B1">
      <w:pPr>
        <w:widowControl w:val="0"/>
        <w:ind w:left="450"/>
        <w:jc w:val="both"/>
        <w:rPr>
          <w:rFonts w:cstheme="minorHAnsi"/>
          <w:sz w:val="22"/>
          <w:szCs w:val="22"/>
        </w:rPr>
      </w:pPr>
    </w:p>
    <w:p w14:paraId="36265FB3" w14:textId="77777777" w:rsidR="00EC45B1" w:rsidRPr="009F31F7" w:rsidRDefault="00000000" w:rsidP="009F31F7">
      <w:pPr>
        <w:widowControl w:val="0"/>
        <w:tabs>
          <w:tab w:val="left" w:pos="630"/>
        </w:tabs>
        <w:ind w:left="567"/>
        <w:jc w:val="both"/>
        <w:rPr>
          <w:rFonts w:cstheme="minorHAnsi"/>
          <w:sz w:val="22"/>
          <w:szCs w:val="22"/>
        </w:rPr>
      </w:pPr>
      <w:r w:rsidRPr="009F31F7">
        <w:rPr>
          <w:rFonts w:cstheme="minorHAnsi"/>
          <w:sz w:val="22"/>
          <w:szCs w:val="22"/>
        </w:rPr>
        <w:t xml:space="preserve">Such </w:t>
      </w:r>
      <w:proofErr w:type="spellStart"/>
      <w:r w:rsidRPr="009F31F7">
        <w:rPr>
          <w:rFonts w:cstheme="minorHAnsi"/>
          <w:sz w:val="22"/>
          <w:szCs w:val="22"/>
        </w:rPr>
        <w:t>authorisation</w:t>
      </w:r>
      <w:proofErr w:type="spellEnd"/>
      <w:r w:rsidRPr="009F31F7">
        <w:rPr>
          <w:rFonts w:cstheme="minorHAnsi"/>
          <w:sz w:val="22"/>
          <w:szCs w:val="22"/>
        </w:rPr>
        <w:t xml:space="preserve"> is valid for a period of five years starting from the date of publication of the present deed. </w:t>
      </w:r>
    </w:p>
    <w:p w14:paraId="7932224D" w14:textId="77777777" w:rsidR="00EC45B1" w:rsidRPr="009F31F7" w:rsidRDefault="00000000" w:rsidP="009F31F7">
      <w:pPr>
        <w:widowControl w:val="0"/>
        <w:tabs>
          <w:tab w:val="left" w:pos="630"/>
        </w:tabs>
        <w:ind w:left="567"/>
        <w:jc w:val="both"/>
        <w:rPr>
          <w:rFonts w:cstheme="minorHAnsi"/>
          <w:sz w:val="22"/>
          <w:szCs w:val="22"/>
        </w:rPr>
      </w:pPr>
      <w:r w:rsidRPr="009F31F7">
        <w:rPr>
          <w:rFonts w:cstheme="minorHAnsi"/>
          <w:sz w:val="22"/>
          <w:szCs w:val="22"/>
        </w:rPr>
        <w:t>The period of this authority may be extended by the general meeting of Shareholders, from time to time, in the manner required for amendment of these Articles of Association.</w:t>
      </w:r>
    </w:p>
    <w:p w14:paraId="135AE0BB" w14:textId="77777777" w:rsidR="00EC45B1" w:rsidRPr="009F31F7" w:rsidRDefault="00EC45B1" w:rsidP="009F31F7">
      <w:pPr>
        <w:widowControl w:val="0"/>
        <w:tabs>
          <w:tab w:val="left" w:pos="630"/>
        </w:tabs>
        <w:ind w:left="567"/>
        <w:jc w:val="both"/>
        <w:rPr>
          <w:rFonts w:cstheme="minorHAnsi"/>
          <w:sz w:val="22"/>
          <w:szCs w:val="22"/>
        </w:rPr>
      </w:pPr>
    </w:p>
    <w:p w14:paraId="206C2A0C" w14:textId="77777777" w:rsidR="00EC45B1" w:rsidRDefault="00000000" w:rsidP="009F31F7">
      <w:pPr>
        <w:pStyle w:val="AoALevel3Article11"/>
        <w:widowControl w:val="0"/>
        <w:numPr>
          <w:ilvl w:val="0"/>
          <w:numId w:val="0"/>
        </w:numPr>
        <w:tabs>
          <w:tab w:val="left" w:pos="567"/>
        </w:tabs>
        <w:spacing w:after="0"/>
        <w:ind w:left="567" w:hanging="567"/>
        <w:contextualSpacing/>
        <w:rPr>
          <w:rFonts w:cstheme="minorHAnsi"/>
        </w:rPr>
      </w:pPr>
      <w:r>
        <w:rPr>
          <w:rFonts w:cstheme="minorHAnsi"/>
        </w:rPr>
        <w:t>5.4</w:t>
      </w:r>
      <w:r>
        <w:rPr>
          <w:rFonts w:cstheme="minorHAnsi"/>
        </w:rPr>
        <w:tab/>
        <w:t>The board of managers is authorized to determine the conditions attached to any subscription for Shares. In case of issuance of Shares, the board of managers of the Company may, in its sole discretion, decide the amounts to be issued.</w:t>
      </w:r>
    </w:p>
    <w:p w14:paraId="7095C61A" w14:textId="77777777" w:rsidR="00EC45B1" w:rsidRDefault="00EC45B1" w:rsidP="009F31F7">
      <w:pPr>
        <w:pStyle w:val="AoALevel3Article11"/>
        <w:widowControl w:val="0"/>
        <w:numPr>
          <w:ilvl w:val="0"/>
          <w:numId w:val="0"/>
        </w:numPr>
        <w:tabs>
          <w:tab w:val="left" w:pos="426"/>
        </w:tabs>
        <w:spacing w:after="0"/>
        <w:ind w:left="450"/>
        <w:contextualSpacing/>
        <w:rPr>
          <w:rFonts w:cstheme="minorHAnsi"/>
        </w:rPr>
      </w:pPr>
    </w:p>
    <w:p w14:paraId="3CDDD90B" w14:textId="77777777" w:rsidR="00EC45B1" w:rsidRPr="009F31F7" w:rsidRDefault="00000000" w:rsidP="009F31F7">
      <w:pPr>
        <w:pStyle w:val="AoALevel3Article11"/>
        <w:widowControl w:val="0"/>
        <w:numPr>
          <w:ilvl w:val="0"/>
          <w:numId w:val="0"/>
        </w:numPr>
        <w:spacing w:after="0"/>
        <w:ind w:left="567"/>
        <w:contextualSpacing/>
        <w:rPr>
          <w:rFonts w:cstheme="minorHAnsi"/>
        </w:rPr>
      </w:pPr>
      <w:r w:rsidRPr="009F31F7">
        <w:rPr>
          <w:rFonts w:cstheme="minorHAnsi"/>
        </w:rPr>
        <w:t>When the board of managers effects a whole or partial increase in capital pursuant to the provisions referred to above, it shall be obliged to take steps to amend this article in order to record the change and the Company’s management is authorized to take or authorize the steps required for the execution and publication of such amendment in accordance with the law.</w:t>
      </w:r>
    </w:p>
    <w:p w14:paraId="25DC4FBE" w14:textId="77777777" w:rsidR="00EC45B1" w:rsidRPr="009F31F7" w:rsidRDefault="00EC45B1" w:rsidP="009F31F7">
      <w:pPr>
        <w:widowControl w:val="0"/>
        <w:tabs>
          <w:tab w:val="left" w:pos="630"/>
        </w:tabs>
        <w:ind w:left="567"/>
        <w:jc w:val="both"/>
        <w:rPr>
          <w:rFonts w:cstheme="minorHAnsi"/>
          <w:sz w:val="22"/>
          <w:szCs w:val="22"/>
        </w:rPr>
      </w:pPr>
    </w:p>
    <w:p w14:paraId="0FEBF036" w14:textId="77777777" w:rsidR="00EC45B1" w:rsidRPr="009F31F7" w:rsidRDefault="00000000" w:rsidP="009F31F7">
      <w:pPr>
        <w:widowControl w:val="0"/>
        <w:tabs>
          <w:tab w:val="left" w:pos="630"/>
        </w:tabs>
        <w:ind w:left="567"/>
        <w:jc w:val="both"/>
        <w:rPr>
          <w:rFonts w:cstheme="minorHAnsi"/>
          <w:sz w:val="22"/>
          <w:szCs w:val="22"/>
        </w:rPr>
      </w:pPr>
      <w:r w:rsidRPr="009F31F7">
        <w:rPr>
          <w:rFonts w:cstheme="minorHAnsi"/>
          <w:sz w:val="22"/>
          <w:szCs w:val="22"/>
        </w:rPr>
        <w:t xml:space="preserve">The share capital of the Company may be reduced by the board of managers through the redemption and cancellation of all the shares in issue in one or more classes of Shares. </w:t>
      </w:r>
      <w:bookmarkStart w:id="1" w:name="result_box5"/>
      <w:bookmarkEnd w:id="1"/>
      <w:r w:rsidRPr="009F31F7">
        <w:rPr>
          <w:rFonts w:cstheme="minorHAnsi"/>
          <w:sz w:val="22"/>
          <w:szCs w:val="22"/>
        </w:rPr>
        <w:t>The repurchase and cancellation of one class of Shares (the “</w:t>
      </w:r>
      <w:r w:rsidRPr="009F31F7">
        <w:rPr>
          <w:rFonts w:cstheme="minorHAnsi"/>
          <w:b/>
          <w:bCs/>
          <w:sz w:val="22"/>
          <w:szCs w:val="22"/>
        </w:rPr>
        <w:t>Relevant Class</w:t>
      </w:r>
      <w:r w:rsidRPr="009F31F7">
        <w:rPr>
          <w:rFonts w:cstheme="minorHAnsi"/>
          <w:sz w:val="22"/>
          <w:szCs w:val="22"/>
        </w:rPr>
        <w:t>”) may only take place if all the shares of the Relevant Preceding Class have already been repurchased and cancelled.</w:t>
      </w:r>
    </w:p>
    <w:p w14:paraId="696B0654" w14:textId="77777777" w:rsidR="00EC45B1" w:rsidRPr="009F31F7" w:rsidRDefault="00EC45B1" w:rsidP="009F31F7">
      <w:pPr>
        <w:widowControl w:val="0"/>
        <w:tabs>
          <w:tab w:val="left" w:pos="630"/>
        </w:tabs>
        <w:ind w:left="567"/>
        <w:jc w:val="both"/>
        <w:rPr>
          <w:rFonts w:cstheme="minorHAnsi"/>
          <w:sz w:val="22"/>
          <w:szCs w:val="22"/>
        </w:rPr>
      </w:pPr>
    </w:p>
    <w:p w14:paraId="49DEC5FE" w14:textId="77777777" w:rsidR="00EC45B1" w:rsidRPr="009F31F7" w:rsidRDefault="00000000" w:rsidP="009F31F7">
      <w:pPr>
        <w:widowControl w:val="0"/>
        <w:tabs>
          <w:tab w:val="left" w:pos="630"/>
        </w:tabs>
        <w:ind w:left="567"/>
        <w:jc w:val="both"/>
        <w:rPr>
          <w:rFonts w:cstheme="minorHAnsi"/>
          <w:sz w:val="22"/>
          <w:szCs w:val="22"/>
        </w:rPr>
      </w:pPr>
      <w:r w:rsidRPr="009F31F7">
        <w:rPr>
          <w:rFonts w:cstheme="minorHAnsi"/>
          <w:sz w:val="22"/>
          <w:szCs w:val="22"/>
        </w:rPr>
        <w:t>In case of redemption and cancellation of all the shares of the Relevant Class, the holders of Shares of the Relevant Class shall receive, for each of the Shares of the Relevant Class which they hold, the cancellation value per share (the “C</w:t>
      </w:r>
      <w:r w:rsidRPr="009F31F7">
        <w:rPr>
          <w:rFonts w:cstheme="minorHAnsi"/>
          <w:b/>
          <w:bCs/>
          <w:sz w:val="22"/>
          <w:szCs w:val="22"/>
        </w:rPr>
        <w:t>ancellation Value Per Share</w:t>
      </w:r>
      <w:r w:rsidRPr="009F31F7">
        <w:rPr>
          <w:rFonts w:cstheme="minorHAnsi"/>
          <w:sz w:val="22"/>
          <w:szCs w:val="22"/>
        </w:rPr>
        <w:t xml:space="preserve">”) calculated as follows: the aggregate nominal value of all Shares of the Relevant Class plus the Available Amount divided by the number of Shares in issue of the Relevant Class, provided that the board of managers may decide to limit the Cancellation Value per Share to the Available Cash per Share. </w:t>
      </w:r>
    </w:p>
    <w:p w14:paraId="025E7652" w14:textId="77777777" w:rsidR="00EC45B1" w:rsidRPr="009F31F7" w:rsidRDefault="00EC45B1" w:rsidP="009F31F7">
      <w:pPr>
        <w:widowControl w:val="0"/>
        <w:tabs>
          <w:tab w:val="left" w:pos="630"/>
        </w:tabs>
        <w:ind w:left="567"/>
        <w:jc w:val="both"/>
        <w:rPr>
          <w:rFonts w:cstheme="minorHAnsi"/>
          <w:sz w:val="22"/>
          <w:szCs w:val="22"/>
        </w:rPr>
      </w:pPr>
    </w:p>
    <w:p w14:paraId="7CEDE17B" w14:textId="77777777" w:rsidR="00EC45B1" w:rsidRPr="009F31F7" w:rsidRDefault="00000000" w:rsidP="009F31F7">
      <w:pPr>
        <w:widowControl w:val="0"/>
        <w:tabs>
          <w:tab w:val="left" w:pos="630"/>
        </w:tabs>
        <w:ind w:left="567"/>
        <w:jc w:val="both"/>
        <w:rPr>
          <w:rFonts w:cstheme="minorHAnsi"/>
          <w:sz w:val="22"/>
          <w:szCs w:val="22"/>
        </w:rPr>
      </w:pPr>
      <w:r w:rsidRPr="009F31F7">
        <w:rPr>
          <w:rFonts w:cstheme="minorHAnsi"/>
          <w:sz w:val="22"/>
          <w:szCs w:val="22"/>
        </w:rPr>
        <w:t>For the avoidance of doubt, in case of a reduction of share capital through the redemption and cancellation of a class of Shares, it shall be the board of managers who shall calculate, in accordance with the provisions of these Articles of Association, the Cancellation Value per Share which shall be paid to holders of the Relevant Class.</w:t>
      </w:r>
      <w:bookmarkStart w:id="2" w:name="result_box7"/>
      <w:bookmarkEnd w:id="2"/>
    </w:p>
    <w:p w14:paraId="4CF026A5" w14:textId="77777777" w:rsidR="00EC45B1" w:rsidRPr="009F31F7" w:rsidRDefault="00EC45B1" w:rsidP="009F31F7">
      <w:pPr>
        <w:widowControl w:val="0"/>
        <w:tabs>
          <w:tab w:val="left" w:pos="630"/>
        </w:tabs>
        <w:ind w:left="567"/>
        <w:jc w:val="both"/>
        <w:rPr>
          <w:rFonts w:cstheme="minorHAnsi"/>
          <w:sz w:val="22"/>
          <w:szCs w:val="22"/>
        </w:rPr>
      </w:pPr>
    </w:p>
    <w:p w14:paraId="34075532" w14:textId="77777777" w:rsidR="00EC45B1" w:rsidRPr="009F31F7" w:rsidRDefault="00000000" w:rsidP="009F31F7">
      <w:pPr>
        <w:widowControl w:val="0"/>
        <w:tabs>
          <w:tab w:val="left" w:pos="630"/>
        </w:tabs>
        <w:ind w:left="567"/>
        <w:jc w:val="both"/>
        <w:rPr>
          <w:rFonts w:cstheme="minorHAnsi"/>
          <w:sz w:val="22"/>
          <w:szCs w:val="22"/>
        </w:rPr>
      </w:pPr>
      <w:bookmarkStart w:id="3" w:name="result_box8"/>
      <w:bookmarkEnd w:id="3"/>
      <w:r w:rsidRPr="009F31F7">
        <w:rPr>
          <w:rFonts w:cstheme="minorHAnsi"/>
          <w:sz w:val="22"/>
          <w:szCs w:val="22"/>
        </w:rPr>
        <w:t>The Company shall inform in writing each holder of Shares to be redeemed, of its intention to redeem the Relevant Class.</w:t>
      </w:r>
    </w:p>
    <w:p w14:paraId="185C1D0F" w14:textId="77777777" w:rsidR="00EC45B1" w:rsidRPr="009F31F7" w:rsidRDefault="00000000" w:rsidP="009F31F7">
      <w:pPr>
        <w:widowControl w:val="0"/>
        <w:tabs>
          <w:tab w:val="left" w:pos="630"/>
        </w:tabs>
        <w:ind w:left="567"/>
        <w:jc w:val="both"/>
        <w:rPr>
          <w:rFonts w:cstheme="minorHAnsi"/>
          <w:sz w:val="22"/>
          <w:szCs w:val="22"/>
        </w:rPr>
      </w:pPr>
      <w:r w:rsidRPr="009F31F7">
        <w:rPr>
          <w:rFonts w:cstheme="minorHAnsi"/>
          <w:sz w:val="22"/>
          <w:szCs w:val="22"/>
        </w:rPr>
        <w:t>Upon the redemption and cancellation of the Relevant Class, the Cancellation Value per Share will be due and payable by the Company.</w:t>
      </w:r>
    </w:p>
    <w:p w14:paraId="20D37D47" w14:textId="77777777" w:rsidR="00EC45B1" w:rsidRPr="009F31F7" w:rsidRDefault="00EC45B1" w:rsidP="009F31F7">
      <w:pPr>
        <w:widowControl w:val="0"/>
        <w:tabs>
          <w:tab w:val="left" w:pos="630"/>
        </w:tabs>
        <w:ind w:left="567"/>
        <w:jc w:val="both"/>
        <w:rPr>
          <w:rFonts w:cstheme="minorHAnsi"/>
          <w:sz w:val="22"/>
          <w:szCs w:val="22"/>
        </w:rPr>
      </w:pPr>
    </w:p>
    <w:p w14:paraId="6C79C270" w14:textId="77777777" w:rsidR="00EC45B1" w:rsidRPr="009F31F7" w:rsidRDefault="00000000" w:rsidP="009F31F7">
      <w:pPr>
        <w:widowControl w:val="0"/>
        <w:tabs>
          <w:tab w:val="left" w:pos="630"/>
        </w:tabs>
        <w:ind w:left="567"/>
        <w:jc w:val="both"/>
        <w:rPr>
          <w:rFonts w:cstheme="minorHAnsi"/>
          <w:sz w:val="22"/>
          <w:szCs w:val="22"/>
        </w:rPr>
      </w:pPr>
      <w:r w:rsidRPr="009F31F7">
        <w:rPr>
          <w:rFonts w:cstheme="minorHAnsi"/>
          <w:sz w:val="22"/>
          <w:szCs w:val="22"/>
        </w:rPr>
        <w:t xml:space="preserve">The payment of the Cancellation Value per Share shall be made in cash and/or in kind by the board of managers in accordance with Luxembourg legal provisions. </w:t>
      </w:r>
    </w:p>
    <w:p w14:paraId="162544FE" w14:textId="77777777" w:rsidR="00EC45B1" w:rsidRPr="009F31F7" w:rsidRDefault="00EC45B1" w:rsidP="009F31F7">
      <w:pPr>
        <w:widowControl w:val="0"/>
        <w:tabs>
          <w:tab w:val="left" w:pos="630"/>
        </w:tabs>
        <w:ind w:left="567"/>
        <w:jc w:val="both"/>
        <w:rPr>
          <w:rFonts w:cstheme="minorHAnsi"/>
          <w:sz w:val="22"/>
          <w:szCs w:val="22"/>
        </w:rPr>
      </w:pPr>
    </w:p>
    <w:p w14:paraId="2ED472F5" w14:textId="77777777" w:rsidR="00EC45B1" w:rsidRPr="009F31F7" w:rsidRDefault="00000000" w:rsidP="009F31F7">
      <w:pPr>
        <w:widowControl w:val="0"/>
        <w:ind w:left="567"/>
        <w:jc w:val="both"/>
        <w:rPr>
          <w:rFonts w:cstheme="minorHAnsi"/>
          <w:sz w:val="22"/>
          <w:szCs w:val="22"/>
        </w:rPr>
      </w:pPr>
      <w:r w:rsidRPr="009F31F7">
        <w:rPr>
          <w:rFonts w:cstheme="minorHAnsi"/>
          <w:sz w:val="22"/>
          <w:szCs w:val="22"/>
        </w:rPr>
        <w:t>When the board of managers effects a whole or partial redemption and cancellation of all the shares in issue in one or more classes of Shares pursuant to the provisions referred to above, it shall be obliged to take steps to amend this article in order to record the change and the Company’s management is authorized to take or authorize the steps required for the execution and publication of such amendment in accordance with the law.</w:t>
      </w:r>
      <w:r w:rsidRPr="009F31F7">
        <w:rPr>
          <w:rFonts w:cstheme="minorHAnsi"/>
          <w:sz w:val="22"/>
          <w:szCs w:val="22"/>
          <w:highlight w:val="cyan"/>
        </w:rPr>
        <w:t>]</w:t>
      </w:r>
    </w:p>
    <w:p w14:paraId="274ADAB3" w14:textId="77777777" w:rsidR="00EC45B1" w:rsidRPr="009F31F7" w:rsidRDefault="00EC45B1" w:rsidP="009F31F7">
      <w:pPr>
        <w:ind w:left="567"/>
        <w:rPr>
          <w:sz w:val="22"/>
          <w:szCs w:val="22"/>
        </w:rPr>
      </w:pPr>
    </w:p>
    <w:p w14:paraId="7DB4D99E" w14:textId="77777777" w:rsidR="00EC45B1"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Article 6</w:t>
      </w:r>
      <w:r>
        <w:rPr>
          <w:rFonts w:cstheme="minorHAnsi"/>
        </w:rPr>
        <w:tab/>
      </w:r>
      <w:r>
        <w:rPr>
          <w:rFonts w:cstheme="minorHAnsi"/>
        </w:rPr>
        <w:tab/>
        <w:t>Shares</w:t>
      </w:r>
    </w:p>
    <w:p w14:paraId="1E0D8560"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6.1</w:t>
      </w:r>
      <w:r>
        <w:rPr>
          <w:rFonts w:cstheme="minorHAnsi"/>
        </w:rPr>
        <w:tab/>
        <w:t>The Company's share capital is divided into shares, each of which has the same nominal value.</w:t>
      </w:r>
    </w:p>
    <w:p w14:paraId="07C27AD6"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6.2</w:t>
      </w:r>
      <w:r>
        <w:rPr>
          <w:rFonts w:cstheme="minorHAnsi"/>
        </w:rPr>
        <w:tab/>
        <w:t>The Company's shares are only in registered form.</w:t>
      </w:r>
    </w:p>
    <w:p w14:paraId="4AEF17BE"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6.3</w:t>
      </w:r>
      <w:r>
        <w:rPr>
          <w:rFonts w:cstheme="minorHAnsi"/>
        </w:rPr>
        <w:tab/>
        <w:t xml:space="preserve">The Company may have one or more partners without exceeding the limit of one hundred (100) partners. </w:t>
      </w:r>
      <w:proofErr w:type="gramStart"/>
      <w:r>
        <w:rPr>
          <w:rFonts w:cstheme="minorHAnsi"/>
        </w:rPr>
        <w:t>In the event that</w:t>
      </w:r>
      <w:proofErr w:type="gramEnd"/>
      <w:r>
        <w:rPr>
          <w:rFonts w:cstheme="minorHAnsi"/>
        </w:rPr>
        <w:t xml:space="preserve"> the number of partners exceeds the limit of one hundred (100) for any reason whatsoever, the Company must be transformed into a company with another corporate form within one (1) year from the date of exceeding the limit.</w:t>
      </w:r>
    </w:p>
    <w:p w14:paraId="516EB01C"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6.4</w:t>
      </w:r>
      <w:r>
        <w:rPr>
          <w:rFonts w:cstheme="minorHAnsi"/>
        </w:rPr>
        <w:tab/>
        <w:t>Death, suspension of civil rights, dissolution, liquidation, bankruptcy or insolvency or any other similar event of one of the partners will not lead to the dissolution of the Company.</w:t>
      </w:r>
    </w:p>
    <w:p w14:paraId="1E670514" w14:textId="77777777" w:rsidR="00EC45B1"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Article 7</w:t>
      </w:r>
      <w:r>
        <w:rPr>
          <w:rFonts w:cstheme="minorHAnsi"/>
        </w:rPr>
        <w:tab/>
      </w:r>
      <w:r>
        <w:rPr>
          <w:rFonts w:cstheme="minorHAnsi"/>
        </w:rPr>
        <w:tab/>
        <w:t>Register of shares - Transfer of shares</w:t>
      </w:r>
    </w:p>
    <w:p w14:paraId="713AA11C"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7.1</w:t>
      </w:r>
      <w:r>
        <w:rPr>
          <w:rFonts w:cstheme="minorHAnsi"/>
        </w:rPr>
        <w:tab/>
        <w:t xml:space="preserve">A register of shares is kept at the Company's registered office where it is made available to each partner for consultation. This register contains all the information required by the Law. Certificates attesting to the records made in the register concerning a partner can be issued on request and at the expense of this partner. </w:t>
      </w:r>
    </w:p>
    <w:p w14:paraId="7143AEFF"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7.2</w:t>
      </w:r>
      <w:r>
        <w:rPr>
          <w:rFonts w:cstheme="minorHAnsi"/>
        </w:rPr>
        <w:tab/>
        <w:t xml:space="preserve">The Company recognizes only one holder per share. Joint co-owners will appoint a single representative who will represent them towards the Company. The Company has the right to suspend the exercise of all rights relating to this share, </w:t>
      </w:r>
      <w:proofErr w:type="gramStart"/>
      <w:r>
        <w:rPr>
          <w:rFonts w:cstheme="minorHAnsi"/>
        </w:rPr>
        <w:t>with the exception of</w:t>
      </w:r>
      <w:proofErr w:type="gramEnd"/>
      <w:r>
        <w:rPr>
          <w:rFonts w:cstheme="minorHAnsi"/>
        </w:rPr>
        <w:t xml:space="preserve"> the right to information, until such a representative was appointed.</w:t>
      </w:r>
    </w:p>
    <w:p w14:paraId="4C9D6858"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7.3</w:t>
      </w:r>
      <w:r>
        <w:rPr>
          <w:rFonts w:cstheme="minorHAnsi"/>
        </w:rPr>
        <w:tab/>
        <w:t>Shares are freely transferable between partners.</w:t>
      </w:r>
      <w:bookmarkStart w:id="4" w:name="_Ref458698417"/>
    </w:p>
    <w:p w14:paraId="4DB8CD9C"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lastRenderedPageBreak/>
        <w:t>7.4</w:t>
      </w:r>
      <w:r>
        <w:rPr>
          <w:rFonts w:cstheme="minorHAnsi"/>
        </w:rPr>
        <w:tab/>
      </w:r>
      <w:r>
        <w:rPr>
          <w:rFonts w:cstheme="minorHAnsi"/>
          <w:i/>
        </w:rPr>
        <w:t xml:space="preserve">Inter </w:t>
      </w:r>
      <w:proofErr w:type="spellStart"/>
      <w:r>
        <w:rPr>
          <w:rFonts w:cstheme="minorHAnsi"/>
          <w:i/>
        </w:rPr>
        <w:t>vivos</w:t>
      </w:r>
      <w:proofErr w:type="spellEnd"/>
      <w:r>
        <w:rPr>
          <w:rFonts w:cstheme="minorHAnsi"/>
        </w:rPr>
        <w:t xml:space="preserve"> shares are transferable to third parties only if such a transfer has been approved beforehand by partners representing at least half of the issued shares.</w:t>
      </w:r>
      <w:bookmarkEnd w:id="4"/>
      <w:r>
        <w:rPr>
          <w:rStyle w:val="FootnoteReference"/>
          <w:rFonts w:cstheme="minorHAnsi"/>
        </w:rPr>
        <w:footnoteReference w:id="5"/>
      </w:r>
      <w:r>
        <w:rPr>
          <w:rFonts w:cstheme="minorHAnsi"/>
        </w:rPr>
        <w:t xml:space="preserve"> </w:t>
      </w:r>
    </w:p>
    <w:p w14:paraId="45B4CB1D"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7.5</w:t>
      </w:r>
      <w:r>
        <w:rPr>
          <w:rFonts w:cstheme="minorHAnsi"/>
        </w:rPr>
        <w:tab/>
        <w:t>When a partner intends to transfer one or more shares to a third party, the transferring partner must send a notification to the Company containing the elements of the envisaged transfer, including the identity of the transferee, the transfer price, and, if applicable, the conditions applicable to the transfer.</w:t>
      </w:r>
      <w:bookmarkStart w:id="5" w:name="_Ref458698523"/>
    </w:p>
    <w:p w14:paraId="43E0F186"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7.6</w:t>
      </w:r>
      <w:r>
        <w:rPr>
          <w:rFonts w:cstheme="minorHAnsi"/>
        </w:rPr>
        <w:tab/>
        <w:t xml:space="preserve">If the proposed transfer is not approved by the partners of the Company in accordance with article </w:t>
      </w:r>
      <w:r>
        <w:rPr>
          <w:rFonts w:cstheme="minorHAnsi"/>
          <w:shd w:val="clear" w:color="auto" w:fill="FFFF00"/>
        </w:rPr>
        <w:t>7.4</w:t>
      </w:r>
      <w:r>
        <w:rPr>
          <w:rStyle w:val="FootnoteReference"/>
          <w:rFonts w:cstheme="minorHAnsi"/>
        </w:rPr>
        <w:footnoteReference w:id="6"/>
      </w:r>
      <w:r>
        <w:rPr>
          <w:rFonts w:cstheme="minorHAnsi"/>
        </w:rPr>
        <w:t xml:space="preserve">, the partners may, within a period of three (3) months from the date of the refusal, acquire the corporate shares in accordance with the principle of equal treatment (unless they have agreed otherwise) or acquire the corporate shares at a price determined in accordance with article </w:t>
      </w:r>
      <w:r>
        <w:rPr>
          <w:rFonts w:cstheme="minorHAnsi"/>
          <w:shd w:val="clear" w:color="auto" w:fill="FFFF00"/>
        </w:rPr>
        <w:t>7.8</w:t>
      </w:r>
      <w:r>
        <w:rPr>
          <w:rFonts w:cstheme="minorHAnsi"/>
        </w:rPr>
        <w:t>, unless the transferring partner decides to cancel the transfer. At the request of managers, the period of three (3) months may be extended by the presiding magistrate of the chamber of the district court in commercial matters and as in the matter of interim relief, without that this extension may exceed six (6) months.</w:t>
      </w:r>
      <w:bookmarkStart w:id="6" w:name="_Ref458698492"/>
      <w:bookmarkEnd w:id="5"/>
    </w:p>
    <w:p w14:paraId="279E814A"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7.7</w:t>
      </w:r>
      <w:r>
        <w:rPr>
          <w:rFonts w:cstheme="minorHAnsi"/>
        </w:rPr>
        <w:tab/>
        <w:t>Insofar as the partners have not proposed to acquire the shares, the Company may, within the same period and with the consent of the transferring partner, and within the limits of the Law, decide to (</w:t>
      </w:r>
      <w:proofErr w:type="spellStart"/>
      <w:r>
        <w:rPr>
          <w:rFonts w:cstheme="minorHAnsi"/>
        </w:rPr>
        <w:t>i</w:t>
      </w:r>
      <w:proofErr w:type="spellEnd"/>
      <w:r>
        <w:rPr>
          <w:rFonts w:cstheme="minorHAnsi"/>
        </w:rPr>
        <w:t xml:space="preserve">) reduce its share capital by the amount corresponding to the nominal value of said shares and (ii) redeem and cancel these shares at a price determined in accordance with article </w:t>
      </w:r>
      <w:r>
        <w:rPr>
          <w:rFonts w:cstheme="minorHAnsi"/>
          <w:shd w:val="clear" w:color="auto" w:fill="FFFF00"/>
        </w:rPr>
        <w:t>7.8</w:t>
      </w:r>
      <w:r>
        <w:rPr>
          <w:rFonts w:cstheme="minorHAnsi"/>
        </w:rPr>
        <w:t>.</w:t>
      </w:r>
      <w:bookmarkStart w:id="7" w:name="_Ref458698457"/>
      <w:bookmarkEnd w:id="6"/>
    </w:p>
    <w:p w14:paraId="06D2C509"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7.8</w:t>
      </w:r>
      <w:r>
        <w:rPr>
          <w:rFonts w:cstheme="minorHAnsi"/>
        </w:rPr>
        <w:tab/>
        <w:t xml:space="preserve">For the purposes of articles </w:t>
      </w:r>
      <w:r>
        <w:rPr>
          <w:rFonts w:cstheme="minorHAnsi"/>
          <w:shd w:val="clear" w:color="auto" w:fill="FFFF00"/>
        </w:rPr>
        <w:t>7.6</w:t>
      </w:r>
      <w:r>
        <w:rPr>
          <w:rFonts w:cstheme="minorHAnsi"/>
        </w:rPr>
        <w:t xml:space="preserve"> and </w:t>
      </w:r>
      <w:r>
        <w:rPr>
          <w:rFonts w:cstheme="minorHAnsi"/>
          <w:shd w:val="clear" w:color="auto" w:fill="FFFF00"/>
        </w:rPr>
        <w:t>7.7</w:t>
      </w:r>
      <w:r>
        <w:rPr>
          <w:rFonts w:cstheme="minorHAnsi"/>
        </w:rPr>
        <w:t>, the transfer price or the redemption price will correspond to the fair market value of the shares determined in good faith by the board of managers.</w:t>
      </w:r>
      <w:bookmarkEnd w:id="7"/>
      <w:r>
        <w:rPr>
          <w:rFonts w:cstheme="minorHAnsi"/>
        </w:rPr>
        <w:t xml:space="preserve"> </w:t>
      </w:r>
    </w:p>
    <w:p w14:paraId="5EDD92E1"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7.9</w:t>
      </w:r>
      <w:r>
        <w:rPr>
          <w:rFonts w:cstheme="minorHAnsi"/>
        </w:rPr>
        <w:tab/>
        <w:t>If, after the expiry of the time limit, neither the existing partners nor the Company have acquired or redeemed the corporate shares, the transferring partner may freely transfer his shares to the proposed new partner(s) at the transfer price and on the terms notified to the Company.</w:t>
      </w:r>
    </w:p>
    <w:p w14:paraId="7558ACCF"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7.10</w:t>
      </w:r>
      <w:r>
        <w:rPr>
          <w:rFonts w:cstheme="minorHAnsi"/>
        </w:rPr>
        <w:tab/>
        <w:t xml:space="preserve">Any transfer of shares is enforceable against the Company and third parties upon notification of the transfer to, or after acceptance of the transfer by the Company, in accordance with article 1690 of the Civil code. </w:t>
      </w:r>
    </w:p>
    <w:p w14:paraId="65EA70B1"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7.11</w:t>
      </w:r>
      <w:r>
        <w:rPr>
          <w:rFonts w:cstheme="minorHAnsi"/>
        </w:rPr>
        <w:tab/>
        <w:t>In the event of death, the shares of the deceased partner may only be transferred to the new partner provided that such a transfer has been approved by the remaining partners representing at least half of the shares belonging to the remaining partners. However, such approval is not required if the shares are transferred either to the ascendants, descendants or to the surviving spouse or to any other legal heir of the deceased partner.</w:t>
      </w:r>
      <w:r>
        <w:rPr>
          <w:rStyle w:val="FootnoteReference"/>
          <w:rFonts w:cstheme="minorHAnsi"/>
        </w:rPr>
        <w:footnoteReference w:id="7"/>
      </w:r>
    </w:p>
    <w:p w14:paraId="6DF21AED" w14:textId="77777777" w:rsidR="00EC45B1" w:rsidRDefault="00EC45B1">
      <w:pPr>
        <w:rPr>
          <w:lang w:val="en-GB"/>
        </w:rPr>
      </w:pPr>
    </w:p>
    <w:p w14:paraId="7BFFF420" w14:textId="77777777" w:rsidR="00EC45B1" w:rsidRDefault="00000000">
      <w:pPr>
        <w:widowControl w:val="0"/>
        <w:tabs>
          <w:tab w:val="left" w:pos="1134"/>
        </w:tabs>
        <w:contextualSpacing/>
        <w:jc w:val="both"/>
        <w:rPr>
          <w:rFonts w:cstheme="minorHAnsi"/>
          <w:i/>
          <w:iCs/>
          <w:highlight w:val="cyan"/>
          <w:lang w:val="en-GB"/>
        </w:rPr>
      </w:pPr>
      <w:r>
        <w:rPr>
          <w:rFonts w:cstheme="minorHAnsi"/>
          <w:i/>
          <w:iCs/>
          <w:highlight w:val="cyan"/>
          <w:lang w:val="en-GB"/>
        </w:rPr>
        <w:t xml:space="preserve">Example of </w:t>
      </w:r>
      <w:proofErr w:type="gramStart"/>
      <w:r>
        <w:rPr>
          <w:rFonts w:cstheme="minorHAnsi"/>
          <w:i/>
          <w:iCs/>
          <w:highlight w:val="cyan"/>
          <w:lang w:val="en-GB"/>
        </w:rPr>
        <w:t>Pre-emption</w:t>
      </w:r>
      <w:proofErr w:type="gramEnd"/>
      <w:r>
        <w:rPr>
          <w:rFonts w:cstheme="minorHAnsi"/>
          <w:i/>
          <w:iCs/>
          <w:highlight w:val="cyan"/>
          <w:lang w:val="en-GB"/>
        </w:rPr>
        <w:t xml:space="preserve"> rights provision</w:t>
      </w:r>
      <w:r>
        <w:rPr>
          <w:rStyle w:val="FootnoteReference"/>
          <w:rFonts w:cstheme="minorHAnsi"/>
          <w:i/>
          <w:iCs/>
          <w:highlight w:val="cyan"/>
          <w:lang w:val="en-GB"/>
        </w:rPr>
        <w:footnoteReference w:id="8"/>
      </w:r>
      <w:r>
        <w:rPr>
          <w:rFonts w:cstheme="minorHAnsi"/>
          <w:i/>
          <w:iCs/>
          <w:highlight w:val="cyan"/>
          <w:lang w:val="en-GB"/>
        </w:rPr>
        <w:t>:</w:t>
      </w:r>
    </w:p>
    <w:p w14:paraId="25455D8C"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7.12</w:t>
      </w:r>
      <w:r>
        <w:rPr>
          <w:rFonts w:cstheme="minorHAnsi"/>
        </w:rPr>
        <w:tab/>
      </w:r>
      <w:r>
        <w:rPr>
          <w:rFonts w:cstheme="minorHAnsi"/>
          <w:highlight w:val="cyan"/>
        </w:rPr>
        <w:t>[</w:t>
      </w:r>
      <w:r>
        <w:rPr>
          <w:rFonts w:cstheme="minorHAnsi"/>
        </w:rPr>
        <w:t xml:space="preserve">Any partner intending to transfer, or otherwise dispose of its Company’s Shares (a </w:t>
      </w:r>
      <w:r>
        <w:rPr>
          <w:rFonts w:cstheme="minorHAnsi"/>
          <w:b/>
          <w:bCs w:val="0"/>
        </w:rPr>
        <w:t>Transferring Partner</w:t>
      </w:r>
      <w:r>
        <w:rPr>
          <w:rFonts w:cstheme="minorHAnsi"/>
        </w:rPr>
        <w:t xml:space="preserve">) (including, for the avoidance of doubt, any transfer pursuant to the provisions of the article </w:t>
      </w:r>
      <w:r>
        <w:rPr>
          <w:rFonts w:cstheme="minorHAnsi"/>
          <w:shd w:val="clear" w:color="auto" w:fill="FFFF00"/>
        </w:rPr>
        <w:t>7</w:t>
      </w:r>
      <w:r>
        <w:rPr>
          <w:rFonts w:cstheme="minorHAnsi"/>
        </w:rPr>
        <w:t xml:space="preserve">), shall give to the other partners (the </w:t>
      </w:r>
      <w:r>
        <w:rPr>
          <w:rFonts w:cstheme="minorHAnsi"/>
          <w:b/>
          <w:bCs w:val="0"/>
        </w:rPr>
        <w:t>Offeree Partners</w:t>
      </w:r>
      <w:r>
        <w:rPr>
          <w:rFonts w:cstheme="minorHAnsi"/>
        </w:rPr>
        <w:t xml:space="preserve">) notice in writing (the </w:t>
      </w:r>
      <w:r>
        <w:rPr>
          <w:rFonts w:cstheme="minorHAnsi"/>
          <w:b/>
          <w:bCs w:val="0"/>
        </w:rPr>
        <w:t>Notice of Offer</w:t>
      </w:r>
      <w:r>
        <w:rPr>
          <w:rFonts w:cstheme="minorHAnsi"/>
        </w:rPr>
        <w:t xml:space="preserve">) that it wishes to transfer its Shares and specifying the number of Shares (the </w:t>
      </w:r>
      <w:r>
        <w:rPr>
          <w:rFonts w:cstheme="minorHAnsi"/>
          <w:b/>
          <w:bCs w:val="0"/>
        </w:rPr>
        <w:t>Offered</w:t>
      </w:r>
      <w:r>
        <w:rPr>
          <w:rFonts w:cstheme="minorHAnsi"/>
        </w:rPr>
        <w:t xml:space="preserve"> </w:t>
      </w:r>
      <w:r>
        <w:rPr>
          <w:rFonts w:cstheme="minorHAnsi"/>
          <w:b/>
          <w:bCs w:val="0"/>
        </w:rPr>
        <w:t>Shares</w:t>
      </w:r>
      <w:r>
        <w:rPr>
          <w:rFonts w:cstheme="minorHAnsi"/>
        </w:rPr>
        <w:t xml:space="preserve">) that it proposes to transfer pursuant to a bona fide offer, the proposed price per share, the proposed transfer date, other terms and conditions of the transfer and of the payment of the price (including, in case of deferred purchase price, the guarantees requested by the Transferring Partner), and the proposed transferee's identity (the </w:t>
      </w:r>
      <w:r>
        <w:rPr>
          <w:rFonts w:cstheme="minorHAnsi"/>
          <w:b/>
          <w:bCs w:val="0"/>
        </w:rPr>
        <w:t>Third Party Purchaser</w:t>
      </w:r>
      <w:r>
        <w:rPr>
          <w:rFonts w:cstheme="minorHAnsi"/>
        </w:rPr>
        <w:t xml:space="preserve">), and including a copy, if any, of the Third Party Purchaser's written offer. The Transferring Partner shall specify in the Notice of Offer all such further information reasonably needed </w:t>
      </w:r>
      <w:proofErr w:type="gramStart"/>
      <w:r>
        <w:rPr>
          <w:rFonts w:cstheme="minorHAnsi"/>
        </w:rPr>
        <w:t>in order to</w:t>
      </w:r>
      <w:proofErr w:type="gramEnd"/>
      <w:r>
        <w:rPr>
          <w:rFonts w:cstheme="minorHAnsi"/>
        </w:rPr>
        <w:t xml:space="preserve"> adequately evaluate the proposed transfer.</w:t>
      </w:r>
    </w:p>
    <w:p w14:paraId="71228951" w14:textId="77777777" w:rsidR="00EC45B1" w:rsidRDefault="00EC45B1">
      <w:pPr>
        <w:pStyle w:val="AoALevel3Article11"/>
        <w:widowControl w:val="0"/>
        <w:numPr>
          <w:ilvl w:val="0"/>
          <w:numId w:val="0"/>
        </w:numPr>
        <w:spacing w:after="0"/>
        <w:ind w:left="426"/>
        <w:contextualSpacing/>
        <w:rPr>
          <w:rFonts w:cstheme="minorHAnsi"/>
        </w:rPr>
      </w:pPr>
    </w:p>
    <w:p w14:paraId="54FAD0E0" w14:textId="77777777" w:rsidR="00EC45B1" w:rsidRDefault="00000000">
      <w:pPr>
        <w:pStyle w:val="AoALevel3Article11"/>
        <w:widowControl w:val="0"/>
        <w:numPr>
          <w:ilvl w:val="0"/>
          <w:numId w:val="0"/>
        </w:numPr>
        <w:spacing w:after="0"/>
        <w:ind w:left="426"/>
        <w:contextualSpacing/>
        <w:rPr>
          <w:rFonts w:cstheme="minorHAnsi"/>
        </w:rPr>
      </w:pPr>
      <w:r>
        <w:rPr>
          <w:rFonts w:cstheme="minorHAnsi"/>
        </w:rPr>
        <w:lastRenderedPageBreak/>
        <w:t xml:space="preserve">Upon receipt of the Notice of Offer, each of the Offeree Partners shall have the right to purchase, proportionally to their interest in the issued share capital of the Company (their </w:t>
      </w:r>
      <w:r>
        <w:rPr>
          <w:rFonts w:cstheme="minorHAnsi"/>
          <w:b/>
          <w:bCs w:val="0"/>
        </w:rPr>
        <w:t>Proportionate Entitlement</w:t>
      </w:r>
      <w:r>
        <w:rPr>
          <w:rFonts w:cstheme="minorHAnsi"/>
        </w:rPr>
        <w:t>), the Offered Shares at the price set forth in the Notice of Offer by giving, within fifteen (15) business days of receiving the Notice of Offer, the Transferring Partner a notice specifying:</w:t>
      </w:r>
    </w:p>
    <w:p w14:paraId="352C034F" w14:textId="77777777" w:rsidR="00EC45B1" w:rsidRDefault="00000000">
      <w:pPr>
        <w:pStyle w:val="AoALevel3Article11"/>
        <w:widowControl w:val="0"/>
        <w:numPr>
          <w:ilvl w:val="0"/>
          <w:numId w:val="0"/>
        </w:numPr>
        <w:spacing w:after="0"/>
        <w:ind w:left="426"/>
        <w:contextualSpacing/>
        <w:rPr>
          <w:rFonts w:cstheme="minorHAnsi"/>
        </w:rPr>
      </w:pPr>
      <w:r>
        <w:rPr>
          <w:rFonts w:cstheme="minorHAnsi"/>
        </w:rPr>
        <w:t>(</w:t>
      </w:r>
      <w:proofErr w:type="spellStart"/>
      <w:r>
        <w:rPr>
          <w:rFonts w:cstheme="minorHAnsi"/>
        </w:rPr>
        <w:t>i</w:t>
      </w:r>
      <w:proofErr w:type="spellEnd"/>
      <w:r>
        <w:rPr>
          <w:rFonts w:cstheme="minorHAnsi"/>
        </w:rPr>
        <w:t xml:space="preserve">) the number of Shares it wishes to purchase and the number of Shares it wishes to purchase in the event the other Offeree Partners exercise their pre-emption right for </w:t>
      </w:r>
      <w:proofErr w:type="gramStart"/>
      <w:r>
        <w:rPr>
          <w:rFonts w:cstheme="minorHAnsi"/>
        </w:rPr>
        <w:t>a number of</w:t>
      </w:r>
      <w:proofErr w:type="gramEnd"/>
      <w:r>
        <w:rPr>
          <w:rFonts w:cstheme="minorHAnsi"/>
        </w:rPr>
        <w:t xml:space="preserve"> Offered Shares lower than their Proportionate Entitlement; and</w:t>
      </w:r>
    </w:p>
    <w:p w14:paraId="7487B0AF" w14:textId="77777777" w:rsidR="00EC45B1" w:rsidRDefault="00000000">
      <w:pPr>
        <w:pStyle w:val="AoALevel3Article11"/>
        <w:widowControl w:val="0"/>
        <w:numPr>
          <w:ilvl w:val="0"/>
          <w:numId w:val="0"/>
        </w:numPr>
        <w:spacing w:after="0"/>
        <w:ind w:left="426"/>
        <w:contextualSpacing/>
        <w:rPr>
          <w:rFonts w:cstheme="minorHAnsi"/>
        </w:rPr>
      </w:pPr>
      <w:r>
        <w:rPr>
          <w:rFonts w:cstheme="minorHAnsi"/>
        </w:rPr>
        <w:t xml:space="preserve">(ii) the acceptance of the terms and conditions set out in the Notice of Offer (a </w:t>
      </w:r>
      <w:r>
        <w:rPr>
          <w:rFonts w:cstheme="minorHAnsi"/>
          <w:b/>
          <w:bCs w:val="0"/>
        </w:rPr>
        <w:t>First Refusal Notice</w:t>
      </w:r>
      <w:r>
        <w:rPr>
          <w:rFonts w:cstheme="minorHAnsi"/>
        </w:rPr>
        <w:t>).</w:t>
      </w:r>
    </w:p>
    <w:p w14:paraId="14921241" w14:textId="77777777" w:rsidR="00EC45B1" w:rsidRDefault="00EC45B1">
      <w:pPr>
        <w:pStyle w:val="AoALevel3Article11"/>
        <w:widowControl w:val="0"/>
        <w:numPr>
          <w:ilvl w:val="0"/>
          <w:numId w:val="0"/>
        </w:numPr>
        <w:spacing w:after="0"/>
        <w:ind w:left="426"/>
        <w:contextualSpacing/>
        <w:rPr>
          <w:rFonts w:cstheme="minorHAnsi"/>
        </w:rPr>
      </w:pPr>
    </w:p>
    <w:p w14:paraId="42D2F1A6" w14:textId="77777777" w:rsidR="00EC45B1" w:rsidRDefault="00000000">
      <w:pPr>
        <w:pStyle w:val="AoALevel3Article11"/>
        <w:widowControl w:val="0"/>
        <w:numPr>
          <w:ilvl w:val="0"/>
          <w:numId w:val="0"/>
        </w:numPr>
        <w:spacing w:after="0"/>
        <w:ind w:left="426"/>
        <w:contextualSpacing/>
        <w:rPr>
          <w:rFonts w:cstheme="minorHAnsi"/>
        </w:rPr>
      </w:pPr>
      <w:r>
        <w:rPr>
          <w:rFonts w:cstheme="minorHAnsi"/>
        </w:rPr>
        <w:t>The Transferring Partner shall sell the Offered Shares to the Offeree Partners on the fifteenth (15th) business day following the serving of the First Refusal Notice or on the fifteenth (15th) business day following the date, on which the regulatory approvals, if any, are obtained (the Transfer Date).</w:t>
      </w:r>
    </w:p>
    <w:p w14:paraId="318D4353" w14:textId="77777777" w:rsidR="00EC45B1" w:rsidRDefault="00EC45B1">
      <w:pPr>
        <w:pStyle w:val="AoALevel3Article11"/>
        <w:widowControl w:val="0"/>
        <w:numPr>
          <w:ilvl w:val="0"/>
          <w:numId w:val="0"/>
        </w:numPr>
        <w:spacing w:after="0"/>
        <w:ind w:left="426"/>
        <w:contextualSpacing/>
        <w:rPr>
          <w:rFonts w:cstheme="minorHAnsi"/>
        </w:rPr>
      </w:pPr>
    </w:p>
    <w:p w14:paraId="135C8EB6" w14:textId="77777777" w:rsidR="00EC45B1" w:rsidRDefault="00000000">
      <w:pPr>
        <w:pStyle w:val="AoALevel3Article11"/>
        <w:widowControl w:val="0"/>
        <w:numPr>
          <w:ilvl w:val="0"/>
          <w:numId w:val="0"/>
        </w:numPr>
        <w:spacing w:after="0"/>
        <w:ind w:left="426"/>
        <w:contextualSpacing/>
        <w:rPr>
          <w:rFonts w:cstheme="minorHAnsi"/>
        </w:rPr>
      </w:pPr>
      <w:r>
        <w:rPr>
          <w:rFonts w:cstheme="minorHAnsi"/>
        </w:rPr>
        <w:t>On the Transfer Date:</w:t>
      </w:r>
    </w:p>
    <w:p w14:paraId="60DBA180" w14:textId="77777777" w:rsidR="00EC45B1" w:rsidRDefault="00000000">
      <w:pPr>
        <w:pStyle w:val="AoALevel3Article11"/>
        <w:widowControl w:val="0"/>
        <w:numPr>
          <w:ilvl w:val="0"/>
          <w:numId w:val="0"/>
        </w:numPr>
        <w:spacing w:after="0"/>
        <w:ind w:left="426"/>
        <w:contextualSpacing/>
        <w:rPr>
          <w:rFonts w:cstheme="minorHAnsi"/>
        </w:rPr>
      </w:pPr>
      <w:r>
        <w:rPr>
          <w:rFonts w:cstheme="minorHAnsi"/>
        </w:rPr>
        <w:t>(</w:t>
      </w:r>
      <w:proofErr w:type="spellStart"/>
      <w:r>
        <w:rPr>
          <w:rFonts w:cstheme="minorHAnsi"/>
        </w:rPr>
        <w:t>i</w:t>
      </w:r>
      <w:proofErr w:type="spellEnd"/>
      <w:r>
        <w:rPr>
          <w:rFonts w:cstheme="minorHAnsi"/>
        </w:rPr>
        <w:t>) the Transferring Partner shall transfer to the Offeree Partners the full legal title to its Proportionate Entitlement; and</w:t>
      </w:r>
    </w:p>
    <w:p w14:paraId="64CF8CFB" w14:textId="77777777" w:rsidR="00EC45B1" w:rsidRDefault="00000000">
      <w:pPr>
        <w:pStyle w:val="AoALevel3Article11"/>
        <w:widowControl w:val="0"/>
        <w:numPr>
          <w:ilvl w:val="0"/>
          <w:numId w:val="0"/>
        </w:numPr>
        <w:spacing w:after="0"/>
        <w:ind w:left="426"/>
        <w:contextualSpacing/>
        <w:rPr>
          <w:rFonts w:cstheme="minorHAnsi"/>
        </w:rPr>
      </w:pPr>
      <w:r>
        <w:rPr>
          <w:rFonts w:cstheme="minorHAnsi"/>
        </w:rPr>
        <w:t>(ii) the Offeree Partners shall pay the Transferring Partner the purchase price for its Proportionate Entitlement in cash by wire transfer or by any other way agreeable to the Transferring Partner of immediately available funds to an account specified by the Transferring Partner at least five (5) business days before the Transfer Date.</w:t>
      </w:r>
    </w:p>
    <w:p w14:paraId="09605F17" w14:textId="77777777" w:rsidR="00EC45B1" w:rsidRDefault="00EC45B1">
      <w:pPr>
        <w:pStyle w:val="AoALevel3Article11"/>
        <w:widowControl w:val="0"/>
        <w:numPr>
          <w:ilvl w:val="0"/>
          <w:numId w:val="0"/>
        </w:numPr>
        <w:spacing w:after="0"/>
        <w:ind w:left="426"/>
        <w:contextualSpacing/>
        <w:rPr>
          <w:rFonts w:cstheme="minorHAnsi"/>
        </w:rPr>
      </w:pPr>
    </w:p>
    <w:p w14:paraId="512CAA08" w14:textId="77777777" w:rsidR="00EC45B1" w:rsidRDefault="00000000">
      <w:pPr>
        <w:pStyle w:val="AoALevel3Article11"/>
        <w:widowControl w:val="0"/>
        <w:numPr>
          <w:ilvl w:val="0"/>
          <w:numId w:val="0"/>
        </w:numPr>
        <w:spacing w:after="0"/>
        <w:ind w:left="426"/>
        <w:contextualSpacing/>
        <w:rPr>
          <w:rFonts w:cstheme="minorHAnsi"/>
        </w:rPr>
      </w:pPr>
      <w:proofErr w:type="gramStart"/>
      <w:r>
        <w:rPr>
          <w:rFonts w:cstheme="minorHAnsi"/>
        </w:rPr>
        <w:t>In the event that</w:t>
      </w:r>
      <w:proofErr w:type="gramEnd"/>
      <w:r>
        <w:rPr>
          <w:rFonts w:cstheme="minorHAnsi"/>
        </w:rPr>
        <w:t>:</w:t>
      </w:r>
    </w:p>
    <w:p w14:paraId="3983C2FB" w14:textId="77777777" w:rsidR="00EC45B1" w:rsidRDefault="00000000">
      <w:pPr>
        <w:pStyle w:val="AoALevel3Article11"/>
        <w:widowControl w:val="0"/>
        <w:numPr>
          <w:ilvl w:val="0"/>
          <w:numId w:val="0"/>
        </w:numPr>
        <w:spacing w:after="0"/>
        <w:ind w:left="426"/>
        <w:contextualSpacing/>
        <w:rPr>
          <w:rFonts w:cstheme="minorHAnsi"/>
        </w:rPr>
      </w:pPr>
      <w:r>
        <w:rPr>
          <w:rFonts w:cstheme="minorHAnsi"/>
        </w:rPr>
        <w:t>(</w:t>
      </w:r>
      <w:proofErr w:type="spellStart"/>
      <w:r>
        <w:rPr>
          <w:rFonts w:cstheme="minorHAnsi"/>
        </w:rPr>
        <w:t>i</w:t>
      </w:r>
      <w:proofErr w:type="spellEnd"/>
      <w:r>
        <w:rPr>
          <w:rFonts w:cstheme="minorHAnsi"/>
        </w:rPr>
        <w:t xml:space="preserve">) the Offeree Partners do not give the Transferring Partner a First Refusal Notice in the specified </w:t>
      </w:r>
      <w:proofErr w:type="gramStart"/>
      <w:r>
        <w:rPr>
          <w:rFonts w:cstheme="minorHAnsi"/>
        </w:rPr>
        <w:t>time period</w:t>
      </w:r>
      <w:proofErr w:type="gramEnd"/>
      <w:r>
        <w:rPr>
          <w:rFonts w:cstheme="minorHAnsi"/>
        </w:rPr>
        <w:t>; or</w:t>
      </w:r>
    </w:p>
    <w:p w14:paraId="0EDBFB5E" w14:textId="77777777" w:rsidR="00EC45B1" w:rsidRDefault="00000000">
      <w:pPr>
        <w:pStyle w:val="AoALevel3Article11"/>
        <w:widowControl w:val="0"/>
        <w:numPr>
          <w:ilvl w:val="0"/>
          <w:numId w:val="0"/>
        </w:numPr>
        <w:spacing w:after="0"/>
        <w:ind w:left="426"/>
        <w:contextualSpacing/>
        <w:rPr>
          <w:rFonts w:cstheme="minorHAnsi"/>
        </w:rPr>
      </w:pPr>
      <w:r>
        <w:rPr>
          <w:rFonts w:cstheme="minorHAnsi"/>
        </w:rPr>
        <w:t xml:space="preserve">(ii) the Offeree Partners do not purchase, within the terms set out in this Article </w:t>
      </w:r>
      <w:r>
        <w:rPr>
          <w:rFonts w:cstheme="minorHAnsi"/>
          <w:highlight w:val="yellow"/>
        </w:rPr>
        <w:t>7.12</w:t>
      </w:r>
      <w:r>
        <w:rPr>
          <w:rFonts w:cstheme="minorHAnsi"/>
        </w:rPr>
        <w:t xml:space="preserve"> all and not only a part of the Offered Shares; or</w:t>
      </w:r>
    </w:p>
    <w:p w14:paraId="2846F302" w14:textId="77777777" w:rsidR="00EC45B1" w:rsidRDefault="00000000">
      <w:pPr>
        <w:pStyle w:val="AoALevel3Article11"/>
        <w:widowControl w:val="0"/>
        <w:numPr>
          <w:ilvl w:val="0"/>
          <w:numId w:val="0"/>
        </w:numPr>
        <w:spacing w:after="0"/>
        <w:ind w:left="426"/>
        <w:contextualSpacing/>
        <w:rPr>
          <w:rFonts w:cstheme="minorHAnsi"/>
        </w:rPr>
      </w:pPr>
      <w:r>
        <w:rPr>
          <w:rFonts w:cstheme="minorHAnsi"/>
        </w:rPr>
        <w:t xml:space="preserve">(iii) the pre-emption right has not been exercised by the Offeree Partners with respect to all, and not only part of, </w:t>
      </w:r>
      <w:proofErr w:type="gramStart"/>
      <w:r>
        <w:rPr>
          <w:rFonts w:cstheme="minorHAnsi"/>
        </w:rPr>
        <w:t>the Offered Shares</w:t>
      </w:r>
      <w:proofErr w:type="gramEnd"/>
      <w:r>
        <w:rPr>
          <w:rFonts w:cstheme="minorHAnsi"/>
        </w:rPr>
        <w:t xml:space="preserve"> then the Transferring Partners may transfer the Offered Shares to the Third Party Purchaser within fifteen</w:t>
      </w:r>
      <w:r>
        <w:rPr>
          <w:lang w:val="en-US"/>
        </w:rPr>
        <w:t xml:space="preserve"> </w:t>
      </w:r>
      <w:r>
        <w:rPr>
          <w:rFonts w:cstheme="minorHAnsi"/>
        </w:rPr>
        <w:t xml:space="preserve">(15) business days of the expiration of the term set out in this Article </w:t>
      </w:r>
      <w:r>
        <w:rPr>
          <w:rFonts w:cstheme="minorHAnsi"/>
          <w:highlight w:val="yellow"/>
        </w:rPr>
        <w:t>7.12</w:t>
      </w:r>
      <w:r>
        <w:rPr>
          <w:rFonts w:cstheme="minorHAnsi"/>
        </w:rPr>
        <w:t>, as the case may be, at a price and on terms and conditions no less favourable to those set out in the Notice of Offer.</w:t>
      </w:r>
    </w:p>
    <w:p w14:paraId="44E54D7F" w14:textId="77777777" w:rsidR="00EC45B1" w:rsidRDefault="00EC45B1">
      <w:pPr>
        <w:pStyle w:val="AoALevel3Article11"/>
        <w:widowControl w:val="0"/>
        <w:numPr>
          <w:ilvl w:val="0"/>
          <w:numId w:val="0"/>
        </w:numPr>
        <w:spacing w:after="0"/>
        <w:ind w:left="426"/>
        <w:contextualSpacing/>
        <w:rPr>
          <w:rFonts w:cstheme="minorHAnsi"/>
        </w:rPr>
      </w:pPr>
    </w:p>
    <w:p w14:paraId="2BDADCB3" w14:textId="77777777" w:rsidR="00EC45B1" w:rsidRDefault="00000000">
      <w:pPr>
        <w:pStyle w:val="AoALevel3Article11"/>
        <w:widowControl w:val="0"/>
        <w:numPr>
          <w:ilvl w:val="0"/>
          <w:numId w:val="0"/>
        </w:numPr>
        <w:spacing w:after="0"/>
        <w:ind w:left="426"/>
        <w:contextualSpacing/>
        <w:rPr>
          <w:rFonts w:cstheme="minorHAnsi"/>
        </w:rPr>
      </w:pPr>
      <w:r>
        <w:rPr>
          <w:rFonts w:cstheme="minorHAnsi"/>
        </w:rPr>
        <w:t xml:space="preserve">It is agreed that if the Transferring Partner does not transfer or otherwise dispose of the Offered Shares within the fifteen (15) business days period set out above, the procedure set out in this Article </w:t>
      </w:r>
      <w:r>
        <w:rPr>
          <w:rFonts w:cstheme="minorHAnsi"/>
          <w:highlight w:val="yellow"/>
        </w:rPr>
        <w:t>7.12</w:t>
      </w:r>
      <w:r>
        <w:rPr>
          <w:rFonts w:cstheme="minorHAnsi"/>
        </w:rPr>
        <w:t xml:space="preserve"> shall be repeated in respect of any transfer or disposal of shares</w:t>
      </w:r>
      <w:r>
        <w:rPr>
          <w:rFonts w:cstheme="minorHAnsi"/>
          <w:highlight w:val="cyan"/>
        </w:rPr>
        <w:t>.]</w:t>
      </w:r>
    </w:p>
    <w:p w14:paraId="06519786" w14:textId="77777777" w:rsidR="00EC45B1" w:rsidRDefault="00EC45B1">
      <w:pPr>
        <w:widowControl w:val="0"/>
        <w:tabs>
          <w:tab w:val="left" w:pos="1134"/>
        </w:tabs>
        <w:contextualSpacing/>
        <w:jc w:val="both"/>
        <w:rPr>
          <w:rFonts w:cstheme="minorHAnsi"/>
          <w:i/>
          <w:iCs/>
          <w:highlight w:val="cyan"/>
          <w:lang w:val="en-GB"/>
        </w:rPr>
      </w:pPr>
    </w:p>
    <w:p w14:paraId="032E90A7" w14:textId="77777777" w:rsidR="00EC45B1" w:rsidRDefault="00000000">
      <w:pPr>
        <w:pStyle w:val="AoALevel1ABC"/>
        <w:keepNext w:val="0"/>
        <w:widowControl w:val="0"/>
        <w:numPr>
          <w:ilvl w:val="0"/>
          <w:numId w:val="55"/>
        </w:numPr>
        <w:pBdr>
          <w:bottom w:val="single" w:sz="6" w:space="4" w:color="1F4E5F"/>
        </w:pBdr>
        <w:tabs>
          <w:tab w:val="clear" w:pos="680"/>
          <w:tab w:val="left" w:pos="284"/>
        </w:tabs>
        <w:spacing w:before="360" w:after="240"/>
        <w:ind w:left="677" w:hanging="677"/>
        <w:rPr>
          <w:rFonts w:cstheme="minorHAnsi"/>
          <w:lang w:val="en-GB"/>
        </w:rPr>
      </w:pPr>
      <w:r>
        <w:rPr>
          <w:rFonts w:cstheme="minorHAnsi"/>
          <w:lang w:val="en-GB"/>
        </w:rPr>
        <w:t>DECISIONS OF THE PARTNERS</w:t>
      </w:r>
    </w:p>
    <w:p w14:paraId="2C700726" w14:textId="77777777" w:rsidR="00EC45B1" w:rsidRDefault="00000000">
      <w:pPr>
        <w:pStyle w:val="AoALevel2Article1"/>
        <w:keepNext w:val="0"/>
        <w:widowControl w:val="0"/>
        <w:numPr>
          <w:ilvl w:val="0"/>
          <w:numId w:val="0"/>
        </w:numPr>
        <w:tabs>
          <w:tab w:val="clear" w:pos="1418"/>
          <w:tab w:val="left" w:pos="1134"/>
        </w:tabs>
        <w:spacing w:before="120" w:after="0"/>
        <w:ind w:left="-144"/>
        <w:rPr>
          <w:rFonts w:cstheme="minorHAnsi"/>
        </w:rPr>
      </w:pPr>
      <w:r>
        <w:rPr>
          <w:rFonts w:cstheme="minorHAnsi"/>
        </w:rPr>
        <w:t>Article 8</w:t>
      </w:r>
      <w:r>
        <w:rPr>
          <w:rFonts w:cstheme="minorHAnsi"/>
        </w:rPr>
        <w:tab/>
        <w:t>Collective decisions of the partners</w:t>
      </w:r>
    </w:p>
    <w:p w14:paraId="60CF0449"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8.1</w:t>
      </w:r>
      <w:r>
        <w:rPr>
          <w:rFonts w:cstheme="minorHAnsi"/>
        </w:rPr>
        <w:tab/>
        <w:t xml:space="preserve">The general meeting is vested with the powers expressly reserved to it by the Law and by these articles. </w:t>
      </w:r>
    </w:p>
    <w:p w14:paraId="00E4604E"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8.2</w:t>
      </w:r>
      <w:r>
        <w:rPr>
          <w:rFonts w:cstheme="minorHAnsi"/>
        </w:rPr>
        <w:tab/>
        <w:t xml:space="preserve">Each partner </w:t>
      </w:r>
      <w:proofErr w:type="gramStart"/>
      <w:r>
        <w:rPr>
          <w:rFonts w:cstheme="minorHAnsi"/>
        </w:rPr>
        <w:t>has the opportunity to</w:t>
      </w:r>
      <w:proofErr w:type="gramEnd"/>
      <w:r>
        <w:rPr>
          <w:rFonts w:cstheme="minorHAnsi"/>
        </w:rPr>
        <w:t xml:space="preserve"> participate in collective decisions regardless of the number of shares he/she holds.</w:t>
      </w:r>
    </w:p>
    <w:p w14:paraId="544F4682"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8.3</w:t>
      </w:r>
      <w:r>
        <w:rPr>
          <w:rFonts w:cstheme="minorHAnsi"/>
        </w:rPr>
        <w:tab/>
        <w:t xml:space="preserve">In the event that and </w:t>
      </w:r>
      <w:proofErr w:type="gramStart"/>
      <w:r>
        <w:rPr>
          <w:rFonts w:cstheme="minorHAnsi"/>
        </w:rPr>
        <w:t>as long as</w:t>
      </w:r>
      <w:proofErr w:type="gramEnd"/>
      <w:r>
        <w:rPr>
          <w:rFonts w:cstheme="minorHAnsi"/>
        </w:rPr>
        <w:t xml:space="preserve"> the Company has no more than sixty (60) partners, collective decisions may be validly adopted by means of written decisions, </w:t>
      </w:r>
      <w:proofErr w:type="gramStart"/>
      <w:r>
        <w:rPr>
          <w:rFonts w:cstheme="minorHAnsi"/>
        </w:rPr>
        <w:t>with the exception of</w:t>
      </w:r>
      <w:proofErr w:type="gramEnd"/>
      <w:r>
        <w:rPr>
          <w:rFonts w:cstheme="minorHAnsi"/>
        </w:rPr>
        <w:t xml:space="preserve"> proposals to amend the articles. In this case, each partner will receive the full text of these resolutions to be adopted and will vote in writing. </w:t>
      </w:r>
    </w:p>
    <w:p w14:paraId="0050CF96"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8.4</w:t>
      </w:r>
      <w:r>
        <w:rPr>
          <w:rFonts w:cstheme="minorHAnsi"/>
        </w:rPr>
        <w:tab/>
        <w:t xml:space="preserve">In the case the Company has only one partner, this partner will exercise the powers vested in the general meeting under the provisions of section XII of the Law and these articles. In this case, any reference made to the "general meeting" must be understood as a reference to the sole partner depending on the context and if necessary and the powers conferred on the general meeting will be exercised by the sole </w:t>
      </w:r>
      <w:r>
        <w:rPr>
          <w:rFonts w:cstheme="minorHAnsi"/>
        </w:rPr>
        <w:lastRenderedPageBreak/>
        <w:t xml:space="preserve">partner. </w:t>
      </w:r>
    </w:p>
    <w:p w14:paraId="37384AB7" w14:textId="77777777" w:rsidR="00EC45B1"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Article 9</w:t>
      </w:r>
      <w:r>
        <w:rPr>
          <w:rFonts w:cstheme="minorHAnsi"/>
        </w:rPr>
        <w:tab/>
      </w:r>
      <w:r>
        <w:rPr>
          <w:rFonts w:cstheme="minorHAnsi"/>
        </w:rPr>
        <w:tab/>
        <w:t>General meetings</w:t>
      </w:r>
    </w:p>
    <w:p w14:paraId="0597222E"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bCs w:val="0"/>
        </w:rPr>
      </w:pPr>
      <w:r>
        <w:rPr>
          <w:rStyle w:val="BodytextBold"/>
          <w:rFonts w:cstheme="minorHAnsi"/>
          <w:b w:val="0"/>
          <w:bCs/>
          <w:sz w:val="22"/>
          <w:szCs w:val="22"/>
        </w:rPr>
        <w:t>9.1</w:t>
      </w:r>
      <w:r>
        <w:rPr>
          <w:rStyle w:val="BodytextBold"/>
          <w:rFonts w:cstheme="minorHAnsi"/>
          <w:b w:val="0"/>
          <w:bCs/>
          <w:sz w:val="22"/>
          <w:szCs w:val="22"/>
        </w:rPr>
        <w:tab/>
        <w:t xml:space="preserve">In the event that the Company has more than sixty (60) partners, a general meeting must be held at least within six (6) months following the end of each financial year in the Grand Duchy of Luxembourg at the registered office of the Company or at any other place in the Grand Duchy of Luxembourg as specified in the convening notice to this general meeting sent by fax or email or by any other similar means. Other general meetings may be held at the places and times indicated in the convening notice to the general meeting. </w:t>
      </w:r>
    </w:p>
    <w:p w14:paraId="1206FC74" w14:textId="77777777" w:rsidR="00EC45B1" w:rsidRDefault="00000000">
      <w:pPr>
        <w:pStyle w:val="AoALevel3Article11"/>
        <w:widowControl w:val="0"/>
        <w:numPr>
          <w:ilvl w:val="0"/>
          <w:numId w:val="0"/>
        </w:numPr>
        <w:tabs>
          <w:tab w:val="left" w:pos="680"/>
        </w:tabs>
        <w:spacing w:after="0"/>
        <w:ind w:left="680" w:hanging="680"/>
        <w:contextualSpacing/>
        <w:rPr>
          <w:rStyle w:val="BodytextBold"/>
          <w:rFonts w:cstheme="minorHAnsi"/>
          <w:b w:val="0"/>
          <w:sz w:val="22"/>
          <w:szCs w:val="22"/>
        </w:rPr>
      </w:pPr>
      <w:r>
        <w:rPr>
          <w:rFonts w:cstheme="minorHAnsi"/>
        </w:rPr>
        <w:t>9.2</w:t>
      </w:r>
      <w:r>
        <w:rPr>
          <w:rFonts w:cstheme="minorHAnsi"/>
        </w:rPr>
        <w:tab/>
        <w:t>When all the partners are present or represented at the general meeting and waive the convening formalities, the meeting may be held without prior notice or publication.</w:t>
      </w:r>
    </w:p>
    <w:p w14:paraId="310FBB65" w14:textId="77777777" w:rsidR="00EC45B1" w:rsidRDefault="00000000">
      <w:pPr>
        <w:pStyle w:val="AoALevel3Article11"/>
        <w:widowControl w:val="0"/>
        <w:numPr>
          <w:ilvl w:val="0"/>
          <w:numId w:val="0"/>
        </w:numPr>
        <w:tabs>
          <w:tab w:val="left" w:pos="680"/>
        </w:tabs>
        <w:spacing w:after="0"/>
        <w:ind w:left="680" w:hanging="680"/>
        <w:contextualSpacing/>
        <w:rPr>
          <w:rStyle w:val="BodytextBold"/>
          <w:rFonts w:cstheme="minorHAnsi"/>
          <w:b w:val="0"/>
          <w:sz w:val="22"/>
          <w:szCs w:val="22"/>
        </w:rPr>
      </w:pPr>
      <w:r>
        <w:rPr>
          <w:rStyle w:val="BodytextBold"/>
          <w:rFonts w:cstheme="minorHAnsi"/>
          <w:b w:val="0"/>
          <w:sz w:val="22"/>
          <w:szCs w:val="22"/>
        </w:rPr>
        <w:t>9.3</w:t>
      </w:r>
      <w:r>
        <w:rPr>
          <w:rStyle w:val="BodytextBold"/>
          <w:rFonts w:cstheme="minorHAnsi"/>
          <w:sz w:val="22"/>
          <w:szCs w:val="22"/>
        </w:rPr>
        <w:tab/>
        <w:t>Partners</w:t>
      </w:r>
      <w:r>
        <w:rPr>
          <w:rStyle w:val="BodytextBold"/>
          <w:rFonts w:cstheme="minorHAnsi"/>
          <w:b w:val="0"/>
          <w:bCs/>
          <w:sz w:val="22"/>
          <w:szCs w:val="22"/>
        </w:rPr>
        <w:t xml:space="preserve"> participating in a meeting by conference call, by video-conference or by any other means of communication making it possible to identify them, allowing all persons participating in this meeting to hear each other on an ongoing basis, and allowing effective participation of these persons in the meeting, are deemed to be present for the calculation of the quorum and votes, provided that these means of communication are made available at the place where the meeting is held. In this case, at least one (1) partner or his representative must be physically present at the Company's registered </w:t>
      </w:r>
      <w:proofErr w:type="gramStart"/>
      <w:r>
        <w:rPr>
          <w:rStyle w:val="BodytextBold"/>
          <w:rFonts w:cstheme="minorHAnsi"/>
          <w:b w:val="0"/>
          <w:bCs/>
          <w:sz w:val="22"/>
          <w:szCs w:val="22"/>
        </w:rPr>
        <w:t>office</w:t>
      </w:r>
      <w:proofErr w:type="gramEnd"/>
      <w:r>
        <w:rPr>
          <w:rStyle w:val="BodytextBold"/>
          <w:rFonts w:cstheme="minorHAnsi"/>
          <w:b w:val="0"/>
          <w:bCs/>
          <w:sz w:val="22"/>
          <w:szCs w:val="22"/>
        </w:rPr>
        <w:t xml:space="preserve"> and the meeting will be deemed to be held at the place of the registered office </w:t>
      </w:r>
      <w:r>
        <w:rPr>
          <w:rStyle w:val="BodytextBold"/>
          <w:rFonts w:cstheme="minorHAnsi"/>
          <w:sz w:val="22"/>
          <w:szCs w:val="22"/>
        </w:rPr>
        <w:t>of the Company.</w:t>
      </w:r>
    </w:p>
    <w:p w14:paraId="4394CF95" w14:textId="77777777" w:rsidR="00EC45B1" w:rsidRDefault="00000000">
      <w:pPr>
        <w:pStyle w:val="AoALevel3Article11"/>
        <w:widowControl w:val="0"/>
        <w:numPr>
          <w:ilvl w:val="0"/>
          <w:numId w:val="0"/>
        </w:numPr>
        <w:tabs>
          <w:tab w:val="left" w:pos="680"/>
        </w:tabs>
        <w:spacing w:after="0"/>
        <w:ind w:left="680" w:hanging="680"/>
        <w:contextualSpacing/>
        <w:rPr>
          <w:rStyle w:val="BodytextBold"/>
          <w:rFonts w:cstheme="minorHAnsi"/>
          <w:b w:val="0"/>
          <w:sz w:val="22"/>
          <w:szCs w:val="22"/>
        </w:rPr>
      </w:pPr>
      <w:r>
        <w:rPr>
          <w:rStyle w:val="BodytextBold"/>
          <w:rFonts w:cstheme="minorHAnsi"/>
          <w:b w:val="0"/>
          <w:sz w:val="22"/>
          <w:szCs w:val="22"/>
        </w:rPr>
        <w:t>9.4</w:t>
      </w:r>
      <w:r>
        <w:rPr>
          <w:rStyle w:val="BodytextBold"/>
          <w:rFonts w:cstheme="minorHAnsi"/>
          <w:sz w:val="22"/>
          <w:szCs w:val="22"/>
        </w:rPr>
        <w:tab/>
        <w:t>Each partner</w:t>
      </w:r>
      <w:r>
        <w:rPr>
          <w:rFonts w:cstheme="minorHAnsi"/>
          <w:bCs w:val="0"/>
        </w:rPr>
        <w:t xml:space="preserve"> may vote at a general meeting by correspondence by means of a voting form sent by letter, e-mail, fax or by any other means of communication to the Company's registered office or to the address mentioned in the convening notice of the meeting. Partners may only use the postal voting forms distributed by the Company and which contain at least the place, date and time of the meeting, the agenda of the meeting, the proposals submitted to the meeting, as well as for each proposal, three (3) boxes authorizing the partner to vote in favour, against, or </w:t>
      </w:r>
      <w:r>
        <w:rPr>
          <w:rFonts w:cstheme="minorHAnsi"/>
          <w:b/>
        </w:rPr>
        <w:t>abstain from voting by ticking the appropriate box</w:t>
      </w:r>
      <w:r>
        <w:rPr>
          <w:rFonts w:cstheme="minorHAnsi"/>
          <w:bCs w:val="0"/>
        </w:rPr>
        <w:t>.</w:t>
      </w:r>
    </w:p>
    <w:p w14:paraId="3EEC6251" w14:textId="77777777" w:rsidR="00EC45B1" w:rsidRDefault="00000000">
      <w:pPr>
        <w:pStyle w:val="AoALevel3Article11"/>
        <w:widowControl w:val="0"/>
        <w:numPr>
          <w:ilvl w:val="0"/>
          <w:numId w:val="0"/>
        </w:numPr>
        <w:tabs>
          <w:tab w:val="left" w:pos="680"/>
        </w:tabs>
        <w:spacing w:after="0"/>
        <w:ind w:left="680" w:hanging="680"/>
        <w:contextualSpacing/>
        <w:rPr>
          <w:rStyle w:val="BodytextBold"/>
          <w:rFonts w:cstheme="minorHAnsi"/>
          <w:b w:val="0"/>
          <w:sz w:val="22"/>
          <w:szCs w:val="22"/>
        </w:rPr>
      </w:pPr>
      <w:r>
        <w:rPr>
          <w:rStyle w:val="BodytextBold"/>
          <w:rFonts w:cstheme="minorHAnsi"/>
          <w:b w:val="0"/>
          <w:sz w:val="22"/>
          <w:szCs w:val="22"/>
        </w:rPr>
        <w:t>9.5</w:t>
      </w:r>
      <w:r>
        <w:rPr>
          <w:rStyle w:val="BodytextBold"/>
          <w:rFonts w:cstheme="minorHAnsi"/>
          <w:sz w:val="22"/>
          <w:szCs w:val="22"/>
        </w:rPr>
        <w:tab/>
        <w:t>Voting forms which</w:t>
      </w:r>
      <w:r>
        <w:rPr>
          <w:rFonts w:cstheme="minorHAnsi"/>
        </w:rPr>
        <w:t>, for a proposed resolution, do not show (</w:t>
      </w:r>
      <w:proofErr w:type="spellStart"/>
      <w:r>
        <w:rPr>
          <w:rFonts w:cstheme="minorHAnsi"/>
        </w:rPr>
        <w:t>i</w:t>
      </w:r>
      <w:proofErr w:type="spellEnd"/>
      <w:r>
        <w:rPr>
          <w:rFonts w:cstheme="minorHAnsi"/>
        </w:rPr>
        <w:t xml:space="preserve">) a vote in favour, (ii) a vote against the proposed resolution or (iii) an abstention are void with regards to this resolution. The Company must only </w:t>
      </w:r>
      <w:proofErr w:type="gramStart"/>
      <w:r>
        <w:rPr>
          <w:rFonts w:cstheme="minorHAnsi"/>
        </w:rPr>
        <w:t>take into account</w:t>
      </w:r>
      <w:proofErr w:type="gramEnd"/>
      <w:r>
        <w:rPr>
          <w:rFonts w:cstheme="minorHAnsi"/>
        </w:rPr>
        <w:t xml:space="preserve"> the voting forms received no later than the day before the date of the general meeting to which they</w:t>
      </w:r>
      <w:r>
        <w:rPr>
          <w:rStyle w:val="BodytextBold"/>
          <w:rFonts w:cstheme="minorHAnsi"/>
          <w:sz w:val="22"/>
          <w:szCs w:val="22"/>
        </w:rPr>
        <w:t xml:space="preserve"> </w:t>
      </w:r>
      <w:r>
        <w:rPr>
          <w:rStyle w:val="BodytextBold"/>
          <w:rFonts w:cstheme="minorHAnsi"/>
          <w:b w:val="0"/>
          <w:bCs/>
          <w:sz w:val="22"/>
          <w:szCs w:val="22"/>
        </w:rPr>
        <w:t>relate</w:t>
      </w:r>
      <w:r>
        <w:rPr>
          <w:rStyle w:val="BodytextBold"/>
          <w:rFonts w:cstheme="minorHAnsi"/>
          <w:sz w:val="22"/>
          <w:szCs w:val="22"/>
        </w:rPr>
        <w:t>.</w:t>
      </w:r>
    </w:p>
    <w:p w14:paraId="0D849971" w14:textId="77777777" w:rsidR="00EC45B1" w:rsidRDefault="00000000">
      <w:pPr>
        <w:pStyle w:val="AoALevel3Article11"/>
        <w:widowControl w:val="0"/>
        <w:numPr>
          <w:ilvl w:val="0"/>
          <w:numId w:val="0"/>
        </w:numPr>
        <w:tabs>
          <w:tab w:val="left" w:pos="680"/>
        </w:tabs>
        <w:spacing w:after="0"/>
        <w:ind w:left="680" w:hanging="680"/>
        <w:contextualSpacing/>
        <w:rPr>
          <w:rStyle w:val="BodytextBold"/>
          <w:rFonts w:cstheme="minorHAnsi"/>
          <w:b w:val="0"/>
          <w:sz w:val="22"/>
          <w:szCs w:val="22"/>
        </w:rPr>
      </w:pPr>
      <w:r>
        <w:rPr>
          <w:rStyle w:val="BodytextBold"/>
          <w:rFonts w:cstheme="minorHAnsi"/>
          <w:b w:val="0"/>
          <w:sz w:val="22"/>
          <w:szCs w:val="22"/>
        </w:rPr>
        <w:t>9.6</w:t>
      </w:r>
      <w:r>
        <w:rPr>
          <w:rStyle w:val="BodytextBold"/>
          <w:rFonts w:cstheme="minorHAnsi"/>
          <w:sz w:val="22"/>
          <w:szCs w:val="22"/>
        </w:rPr>
        <w:tab/>
        <w:t>The board of managers may determine</w:t>
      </w:r>
      <w:r>
        <w:rPr>
          <w:rFonts w:cstheme="minorHAnsi"/>
          <w:bCs w:val="0"/>
        </w:rPr>
        <w:t xml:space="preserve"> additional conditions to be fulfilled by the partners </w:t>
      </w:r>
      <w:proofErr w:type="gramStart"/>
      <w:r>
        <w:rPr>
          <w:rFonts w:cstheme="minorHAnsi"/>
          <w:bCs w:val="0"/>
        </w:rPr>
        <w:t>in order to</w:t>
      </w:r>
      <w:proofErr w:type="gramEnd"/>
      <w:r>
        <w:rPr>
          <w:rFonts w:cstheme="minorHAnsi"/>
          <w:bCs w:val="0"/>
        </w:rPr>
        <w:t xml:space="preserve"> be able to participate in the</w:t>
      </w:r>
      <w:r>
        <w:rPr>
          <w:rStyle w:val="BodytextBold"/>
          <w:rFonts w:cstheme="minorHAnsi"/>
          <w:sz w:val="22"/>
          <w:szCs w:val="22"/>
        </w:rPr>
        <w:t xml:space="preserve"> general meetings.</w:t>
      </w:r>
    </w:p>
    <w:p w14:paraId="32FF39A0" w14:textId="77777777" w:rsidR="00EC45B1" w:rsidRDefault="00000000">
      <w:pPr>
        <w:pStyle w:val="AoALevel3Article11"/>
        <w:widowControl w:val="0"/>
        <w:numPr>
          <w:ilvl w:val="0"/>
          <w:numId w:val="0"/>
        </w:numPr>
        <w:tabs>
          <w:tab w:val="left" w:pos="680"/>
        </w:tabs>
        <w:spacing w:after="0"/>
        <w:ind w:left="680" w:hanging="680"/>
        <w:contextualSpacing/>
        <w:rPr>
          <w:rStyle w:val="BodytextBold"/>
          <w:rFonts w:cstheme="minorHAnsi"/>
          <w:b w:val="0"/>
          <w:sz w:val="22"/>
          <w:szCs w:val="22"/>
        </w:rPr>
      </w:pPr>
      <w:r>
        <w:rPr>
          <w:rStyle w:val="BodytextBold"/>
          <w:rFonts w:cstheme="minorHAnsi"/>
          <w:b w:val="0"/>
          <w:sz w:val="22"/>
          <w:szCs w:val="22"/>
        </w:rPr>
        <w:t>9.7</w:t>
      </w:r>
      <w:r>
        <w:rPr>
          <w:rStyle w:val="BodytextBold"/>
          <w:rFonts w:cstheme="minorHAnsi"/>
          <w:sz w:val="22"/>
          <w:szCs w:val="22"/>
        </w:rPr>
        <w:tab/>
        <w:t>A list of attendance must be drawn up at any general meeting.</w:t>
      </w:r>
    </w:p>
    <w:p w14:paraId="04528419" w14:textId="77777777" w:rsidR="00EC45B1"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Article 10</w:t>
      </w:r>
      <w:r>
        <w:rPr>
          <w:rFonts w:cstheme="minorHAnsi"/>
        </w:rPr>
        <w:tab/>
      </w:r>
      <w:r>
        <w:rPr>
          <w:rFonts w:cstheme="minorHAnsi"/>
        </w:rPr>
        <w:tab/>
        <w:t>Quorum, majority and vote</w:t>
      </w:r>
    </w:p>
    <w:p w14:paraId="6CA265CE"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10.1</w:t>
      </w:r>
      <w:r>
        <w:rPr>
          <w:rFonts w:cstheme="minorHAnsi"/>
        </w:rPr>
        <w:tab/>
        <w:t xml:space="preserve">Each share entitles to one vote at the general meetings. </w:t>
      </w:r>
      <w:bookmarkStart w:id="8" w:name="_Ref458698557"/>
    </w:p>
    <w:p w14:paraId="2D288EEA"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10.2</w:t>
      </w:r>
      <w:r>
        <w:rPr>
          <w:rFonts w:cstheme="minorHAnsi"/>
        </w:rPr>
        <w:tab/>
        <w:t>The board of managers may suspend the voting rights of any partner who does not fulfil his obligations as described in the articles or any other agreement to which this partner is a party.</w:t>
      </w:r>
      <w:bookmarkStart w:id="9" w:name="_Ref458698573"/>
      <w:bookmarkEnd w:id="8"/>
    </w:p>
    <w:p w14:paraId="07FF8340"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10.3</w:t>
      </w:r>
      <w:r>
        <w:rPr>
          <w:rFonts w:cstheme="minorHAnsi"/>
        </w:rPr>
        <w:tab/>
        <w:t>A partner may decide, on a personal basis, not to exercise, temporarily or permanently, all or part of his voting rights. Such a renunciation is binding on the renouncing partner and is binding on the Company as soon as it is notified to the latter.</w:t>
      </w:r>
      <w:bookmarkEnd w:id="9"/>
    </w:p>
    <w:p w14:paraId="705AD25D"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10.4</w:t>
      </w:r>
      <w:r>
        <w:rPr>
          <w:rFonts w:cstheme="minorHAnsi"/>
        </w:rPr>
        <w:tab/>
        <w:t xml:space="preserve">If the voting rights of one or more partners are suspended in accordance with article </w:t>
      </w:r>
      <w:r>
        <w:rPr>
          <w:rFonts w:cstheme="minorHAnsi"/>
          <w:shd w:val="clear" w:color="auto" w:fill="FFFF00"/>
        </w:rPr>
        <w:t>10.2</w:t>
      </w:r>
      <w:r>
        <w:rPr>
          <w:rFonts w:cstheme="minorHAnsi"/>
        </w:rPr>
        <w:t xml:space="preserve"> or if one or more partners have renounced their voting rights in accordance with article </w:t>
      </w:r>
      <w:r>
        <w:rPr>
          <w:rFonts w:cstheme="minorHAnsi"/>
          <w:shd w:val="clear" w:color="auto" w:fill="FFFF00"/>
        </w:rPr>
        <w:t>10.3</w:t>
      </w:r>
      <w:r>
        <w:rPr>
          <w:rFonts w:cstheme="minorHAnsi"/>
        </w:rPr>
        <w:t xml:space="preserve">, these partners may participate in any general meeting of the Company, however the shares they hold are not counted for determining the quorum and majority conditions to be respected during the general meetings of the Company or to determine if the written resolutions have been validly adopted. </w:t>
      </w:r>
    </w:p>
    <w:p w14:paraId="674528C0"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10.5</w:t>
      </w:r>
      <w:r>
        <w:rPr>
          <w:rFonts w:cstheme="minorHAnsi"/>
        </w:rPr>
        <w:tab/>
        <w:t>Subject to the stricter provisions of these articles or the Law, the collective decisions of the partners are validly adopted only insofar as they have been adopted by partners holding more than half of the share capital. If this majority is not reached at the first meeting or consultation in writing, the partners are convened or consulted a second time by registered letter with the same agenda and decisions are taken by a majority of votes validly cast regardless of the portion of the capital represented.</w:t>
      </w:r>
    </w:p>
    <w:p w14:paraId="63394E66" w14:textId="77777777" w:rsidR="00EC45B1" w:rsidRDefault="00000000">
      <w:pPr>
        <w:pStyle w:val="AoALevel2Article1"/>
        <w:keepNext w:val="0"/>
        <w:widowControl w:val="0"/>
        <w:numPr>
          <w:ilvl w:val="0"/>
          <w:numId w:val="0"/>
        </w:numPr>
        <w:tabs>
          <w:tab w:val="clear" w:pos="1418"/>
          <w:tab w:val="left" w:pos="709"/>
        </w:tabs>
        <w:spacing w:before="120" w:after="0"/>
        <w:contextualSpacing/>
        <w:rPr>
          <w:rFonts w:cstheme="minorHAnsi"/>
        </w:rPr>
      </w:pPr>
      <w:r>
        <w:rPr>
          <w:rFonts w:cstheme="minorHAnsi"/>
        </w:rPr>
        <w:t xml:space="preserve">Article 11 </w:t>
      </w:r>
      <w:r>
        <w:rPr>
          <w:rFonts w:cstheme="minorHAnsi"/>
        </w:rPr>
        <w:tab/>
        <w:t>Amendment of the articles</w:t>
      </w:r>
    </w:p>
    <w:p w14:paraId="28819A8A" w14:textId="77777777" w:rsidR="00EC45B1" w:rsidRDefault="00000000">
      <w:pPr>
        <w:widowControl w:val="0"/>
        <w:ind w:right="20"/>
        <w:contextualSpacing/>
        <w:jc w:val="both"/>
        <w:rPr>
          <w:rFonts w:cstheme="minorHAnsi"/>
          <w:lang w:val="en-GB"/>
        </w:rPr>
      </w:pPr>
      <w:r>
        <w:rPr>
          <w:rFonts w:cstheme="minorHAnsi"/>
          <w:lang w:val="en-GB"/>
        </w:rPr>
        <w:t xml:space="preserve">Any amendment of the articles requires the agreement of the partners representing at least three quarters of the share capital. </w:t>
      </w:r>
    </w:p>
    <w:p w14:paraId="0F1260CD" w14:textId="77777777" w:rsidR="00EC45B1"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lastRenderedPageBreak/>
        <w:t>Article 12</w:t>
      </w:r>
      <w:r>
        <w:rPr>
          <w:rFonts w:cstheme="minorHAnsi"/>
        </w:rPr>
        <w:tab/>
      </w:r>
      <w:r>
        <w:rPr>
          <w:rFonts w:cstheme="minorHAnsi"/>
        </w:rPr>
        <w:tab/>
        <w:t>Change of nationality</w:t>
      </w:r>
    </w:p>
    <w:p w14:paraId="4F184295" w14:textId="77777777" w:rsidR="00EC45B1" w:rsidRDefault="00000000">
      <w:pPr>
        <w:widowControl w:val="0"/>
        <w:ind w:right="23"/>
        <w:contextualSpacing/>
        <w:jc w:val="both"/>
        <w:rPr>
          <w:rFonts w:cstheme="minorHAnsi"/>
          <w:lang w:val="en-GB"/>
        </w:rPr>
      </w:pPr>
      <w:r>
        <w:rPr>
          <w:rFonts w:cstheme="minorHAnsi"/>
          <w:lang w:val="en-GB"/>
        </w:rPr>
        <w:t>The partners may change the nationality of the Company by a resolution of the general meeting adopted under the conditions required for the amendment of these articles.</w:t>
      </w:r>
    </w:p>
    <w:p w14:paraId="70BF2B1D" w14:textId="77777777" w:rsidR="00EC45B1"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Article 13</w:t>
      </w:r>
      <w:r>
        <w:rPr>
          <w:rFonts w:cstheme="minorHAnsi"/>
        </w:rPr>
        <w:tab/>
      </w:r>
      <w:r>
        <w:rPr>
          <w:rFonts w:cstheme="minorHAnsi"/>
        </w:rPr>
        <w:tab/>
        <w:t>Right to ask questions</w:t>
      </w:r>
    </w:p>
    <w:p w14:paraId="70E5E155"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13.1</w:t>
      </w:r>
      <w:r>
        <w:rPr>
          <w:rFonts w:cstheme="minorHAnsi"/>
        </w:rPr>
        <w:tab/>
        <w:t>One or more partners holding together at least ten percent (10%) of the share capital or voting rights may submit questions in writing to the board of managers concerning operations related to the management of the Company, as well as companies controlled by the Company. In the latter case, the issues must be assessed in the light of the corporate interest of the companies concerned.</w:t>
      </w:r>
    </w:p>
    <w:p w14:paraId="3E026600" w14:textId="77777777" w:rsidR="00EC45B1" w:rsidRDefault="00000000">
      <w:pPr>
        <w:pStyle w:val="AoALevel3Article11"/>
        <w:widowControl w:val="0"/>
        <w:numPr>
          <w:ilvl w:val="0"/>
          <w:numId w:val="0"/>
        </w:numPr>
        <w:tabs>
          <w:tab w:val="left" w:pos="680"/>
        </w:tabs>
        <w:spacing w:after="0"/>
        <w:ind w:left="680" w:right="20" w:hanging="680"/>
        <w:contextualSpacing/>
        <w:rPr>
          <w:rFonts w:cstheme="minorHAnsi"/>
        </w:rPr>
      </w:pPr>
      <w:r>
        <w:rPr>
          <w:rFonts w:cstheme="minorHAnsi"/>
        </w:rPr>
        <w:t>13.2</w:t>
      </w:r>
      <w:r>
        <w:rPr>
          <w:rFonts w:cstheme="minorHAnsi"/>
        </w:rPr>
        <w:tab/>
        <w:t>In the absence of a response within one (1) month, the partners concerned may request the magistrate presiding over the chamber of the district court of Luxembourg in commercial matters and as in the matter of interim relief to appoint one or more experts to draw up a report on the targeted management operations.</w:t>
      </w:r>
    </w:p>
    <w:p w14:paraId="7D0FEC08" w14:textId="77777777" w:rsidR="00EC45B1" w:rsidRDefault="00000000">
      <w:pPr>
        <w:pStyle w:val="AoALevel1ABC"/>
        <w:keepNext w:val="0"/>
        <w:widowControl w:val="0"/>
        <w:numPr>
          <w:ilvl w:val="0"/>
          <w:numId w:val="56"/>
        </w:numPr>
        <w:pBdr>
          <w:bottom w:val="single" w:sz="6" w:space="4" w:color="1F4E5F"/>
        </w:pBdr>
        <w:tabs>
          <w:tab w:val="clear" w:pos="680"/>
          <w:tab w:val="left" w:pos="284"/>
        </w:tabs>
        <w:spacing w:before="360" w:after="240"/>
        <w:ind w:left="677" w:hanging="677"/>
        <w:contextualSpacing/>
        <w:rPr>
          <w:rFonts w:cstheme="minorHAnsi"/>
          <w:lang w:val="en-GB"/>
        </w:rPr>
      </w:pPr>
      <w:r>
        <w:rPr>
          <w:rFonts w:cstheme="minorHAnsi"/>
          <w:lang w:val="en-GB"/>
        </w:rPr>
        <w:t>MANAGEMENT</w:t>
      </w:r>
    </w:p>
    <w:p w14:paraId="66DEED88" w14:textId="77777777" w:rsidR="00EC45B1" w:rsidRDefault="00000000">
      <w:pPr>
        <w:pStyle w:val="AoALevel2Article1"/>
        <w:keepNext w:val="0"/>
        <w:widowControl w:val="0"/>
        <w:numPr>
          <w:ilvl w:val="0"/>
          <w:numId w:val="0"/>
        </w:numPr>
        <w:tabs>
          <w:tab w:val="clear" w:pos="1418"/>
          <w:tab w:val="left" w:pos="993"/>
        </w:tabs>
        <w:spacing w:before="120" w:after="0"/>
        <w:contextualSpacing/>
        <w:rPr>
          <w:rFonts w:cstheme="minorHAnsi"/>
        </w:rPr>
      </w:pPr>
      <w:r>
        <w:rPr>
          <w:rFonts w:cstheme="minorHAnsi"/>
        </w:rPr>
        <w:t xml:space="preserve">Article 14 </w:t>
      </w:r>
      <w:r>
        <w:rPr>
          <w:rFonts w:cstheme="minorHAnsi"/>
        </w:rPr>
        <w:tab/>
        <w:t>Powers of the sole manager - Composition and powers of the board of managers</w:t>
      </w:r>
    </w:p>
    <w:p w14:paraId="114B79B6" w14:textId="77777777" w:rsidR="00EC45B1" w:rsidRDefault="00000000">
      <w:pPr>
        <w:widowControl w:val="0"/>
        <w:tabs>
          <w:tab w:val="left" w:pos="1134"/>
        </w:tabs>
        <w:contextualSpacing/>
        <w:jc w:val="both"/>
        <w:rPr>
          <w:rFonts w:cstheme="minorHAnsi"/>
          <w:b/>
          <w:bCs/>
          <w:i/>
          <w:iCs/>
          <w:highlight w:val="cyan"/>
          <w:lang w:val="en-GB"/>
        </w:rPr>
      </w:pPr>
      <w:r>
        <w:rPr>
          <w:rFonts w:cstheme="minorHAnsi"/>
          <w:b/>
          <w:bCs/>
          <w:i/>
          <w:iCs/>
          <w:highlight w:val="cyan"/>
          <w:lang w:val="en-GB"/>
        </w:rPr>
        <w:t>Examples of board composition:</w:t>
      </w:r>
    </w:p>
    <w:p w14:paraId="178905E6" w14:textId="77777777" w:rsidR="00EC45B1" w:rsidRDefault="00EC45B1">
      <w:pPr>
        <w:rPr>
          <w:lang w:val="en-GB"/>
        </w:rPr>
      </w:pPr>
    </w:p>
    <w:p w14:paraId="7EB406AB" w14:textId="77777777" w:rsidR="00EC45B1" w:rsidRDefault="00000000">
      <w:pPr>
        <w:widowControl w:val="0"/>
        <w:tabs>
          <w:tab w:val="left" w:pos="1134"/>
        </w:tabs>
        <w:contextualSpacing/>
        <w:jc w:val="both"/>
        <w:rPr>
          <w:rFonts w:cstheme="minorHAnsi"/>
          <w:i/>
          <w:iCs/>
          <w:highlight w:val="cyan"/>
          <w:lang w:val="en-GB"/>
        </w:rPr>
      </w:pPr>
      <w:r>
        <w:rPr>
          <w:rFonts w:cstheme="minorHAnsi"/>
          <w:i/>
          <w:iCs/>
          <w:highlight w:val="cyan"/>
          <w:lang w:val="en-GB"/>
        </w:rPr>
        <w:t>Standard board composition:</w:t>
      </w:r>
    </w:p>
    <w:p w14:paraId="5B70BE36"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14.1</w:t>
      </w:r>
      <w:r>
        <w:rPr>
          <w:rFonts w:cstheme="minorHAnsi"/>
        </w:rPr>
        <w:tab/>
        <w:t xml:space="preserve">The Company can be managed by one or more managers. If the Company has several managers, the managers form a board of managers. </w:t>
      </w:r>
    </w:p>
    <w:p w14:paraId="0F3E13A2" w14:textId="77777777" w:rsidR="00EC45B1" w:rsidRDefault="00EC45B1">
      <w:pPr>
        <w:widowControl w:val="0"/>
        <w:tabs>
          <w:tab w:val="left" w:pos="1134"/>
        </w:tabs>
        <w:contextualSpacing/>
        <w:jc w:val="both"/>
        <w:rPr>
          <w:rFonts w:cstheme="minorHAnsi"/>
          <w:i/>
          <w:iCs/>
          <w:highlight w:val="cyan"/>
          <w:lang w:val="en-GB"/>
        </w:rPr>
      </w:pPr>
    </w:p>
    <w:p w14:paraId="5B83E48C" w14:textId="77777777" w:rsidR="00EC45B1" w:rsidRDefault="00000000">
      <w:pPr>
        <w:widowControl w:val="0"/>
        <w:tabs>
          <w:tab w:val="left" w:pos="1134"/>
        </w:tabs>
        <w:contextualSpacing/>
        <w:jc w:val="both"/>
        <w:rPr>
          <w:rFonts w:cstheme="minorHAnsi"/>
          <w:i/>
          <w:iCs/>
          <w:highlight w:val="cyan"/>
          <w:lang w:val="en-GB"/>
        </w:rPr>
      </w:pPr>
      <w:r>
        <w:rPr>
          <w:rFonts w:cstheme="minorHAnsi"/>
          <w:i/>
          <w:iCs/>
          <w:highlight w:val="cyan"/>
          <w:lang w:val="en-GB"/>
        </w:rPr>
        <w:t>Board of managers with Class manager:</w:t>
      </w:r>
    </w:p>
    <w:p w14:paraId="6DE3BFA0" w14:textId="77777777" w:rsidR="00EC45B1" w:rsidRDefault="00000000" w:rsidP="007F5ECF">
      <w:pPr>
        <w:widowControl w:val="0"/>
        <w:tabs>
          <w:tab w:val="left" w:pos="1134"/>
        </w:tabs>
        <w:ind w:left="709" w:hanging="709"/>
        <w:contextualSpacing/>
        <w:jc w:val="both"/>
        <w:rPr>
          <w:rFonts w:cstheme="minorHAnsi"/>
          <w:i/>
          <w:iCs/>
          <w:highlight w:val="cyan"/>
          <w:lang w:val="en-GB"/>
        </w:rPr>
      </w:pPr>
      <w:r w:rsidRPr="007F5ECF">
        <w:rPr>
          <w:rFonts w:cstheme="minorHAnsi"/>
          <w:color w:val="000000"/>
          <w:sz w:val="22"/>
          <w:szCs w:val="22"/>
          <w:lang w:val="en-GB"/>
        </w:rPr>
        <w:t>14</w:t>
      </w:r>
      <w:r>
        <w:rPr>
          <w:rFonts w:cstheme="minorHAnsi"/>
          <w:i/>
          <w:iCs/>
          <w:color w:val="000000"/>
          <w:sz w:val="22"/>
          <w:szCs w:val="22"/>
          <w:lang w:val="en-GB"/>
        </w:rPr>
        <w:t>.</w:t>
      </w:r>
      <w:r w:rsidRPr="007F5ECF">
        <w:rPr>
          <w:rFonts w:cstheme="minorHAnsi"/>
          <w:color w:val="000000"/>
          <w:sz w:val="22"/>
          <w:szCs w:val="22"/>
          <w:lang w:val="en-GB"/>
        </w:rPr>
        <w:t>1</w:t>
      </w:r>
      <w:r>
        <w:rPr>
          <w:rFonts w:cstheme="minorHAnsi"/>
          <w:i/>
          <w:iCs/>
          <w:color w:val="000000"/>
          <w:sz w:val="22"/>
          <w:szCs w:val="22"/>
          <w:lang w:val="en-GB"/>
        </w:rPr>
        <w:t xml:space="preserve"> </w:t>
      </w:r>
      <w:proofErr w:type="gramStart"/>
      <w:r>
        <w:rPr>
          <w:rFonts w:cstheme="minorHAnsi"/>
          <w:i/>
          <w:iCs/>
          <w:color w:val="000000"/>
          <w:sz w:val="22"/>
          <w:szCs w:val="22"/>
          <w:lang w:val="en-GB"/>
        </w:rPr>
        <w:t xml:space="preserve">   </w:t>
      </w:r>
      <w:r>
        <w:rPr>
          <w:rFonts w:cstheme="minorHAnsi"/>
          <w:sz w:val="22"/>
          <w:szCs w:val="22"/>
          <w:highlight w:val="cyan"/>
          <w:lang w:val="en-GB"/>
        </w:rPr>
        <w:t>[</w:t>
      </w:r>
      <w:proofErr w:type="gramEnd"/>
      <w:r>
        <w:rPr>
          <w:rFonts w:cstheme="minorHAnsi"/>
          <w:sz w:val="22"/>
          <w:szCs w:val="22"/>
        </w:rPr>
        <w:t>The Company shall be managed by one or several managers (the “</w:t>
      </w:r>
      <w:r>
        <w:rPr>
          <w:rFonts w:cstheme="minorHAnsi"/>
          <w:b/>
          <w:sz w:val="22"/>
          <w:szCs w:val="22"/>
        </w:rPr>
        <w:t>Managers</w:t>
      </w:r>
      <w:r>
        <w:rPr>
          <w:rFonts w:cstheme="minorHAnsi"/>
          <w:sz w:val="22"/>
          <w:szCs w:val="22"/>
        </w:rPr>
        <w:t xml:space="preserve">”), who need not be partners, </w:t>
      </w:r>
      <w:proofErr w:type="gramStart"/>
      <w:r>
        <w:rPr>
          <w:rFonts w:cstheme="minorHAnsi"/>
          <w:sz w:val="22"/>
          <w:szCs w:val="22"/>
        </w:rPr>
        <w:t>the majority of</w:t>
      </w:r>
      <w:proofErr w:type="gramEnd"/>
      <w:r>
        <w:rPr>
          <w:rFonts w:cstheme="minorHAnsi"/>
          <w:sz w:val="22"/>
          <w:szCs w:val="22"/>
        </w:rPr>
        <w:t xml:space="preserve"> them residing in Luxembourg.</w:t>
      </w:r>
    </w:p>
    <w:p w14:paraId="553B4520" w14:textId="77777777" w:rsidR="00EC45B1" w:rsidRDefault="00000000">
      <w:pPr>
        <w:pStyle w:val="AoALevel3Article11"/>
        <w:widowControl w:val="0"/>
        <w:numPr>
          <w:ilvl w:val="0"/>
          <w:numId w:val="0"/>
        </w:numPr>
        <w:spacing w:after="0"/>
        <w:ind w:left="680"/>
        <w:contextualSpacing/>
        <w:rPr>
          <w:rFonts w:cstheme="minorHAnsi"/>
        </w:rPr>
      </w:pPr>
      <w:r>
        <w:rPr>
          <w:rFonts w:cstheme="minorHAnsi"/>
        </w:rPr>
        <w:t>If several managers have been appointed, they will constitute a board of managers (the “</w:t>
      </w:r>
      <w:r>
        <w:rPr>
          <w:rFonts w:cstheme="minorHAnsi"/>
          <w:b/>
          <w:bCs w:val="0"/>
        </w:rPr>
        <w:t>Board of Managers</w:t>
      </w:r>
      <w:r>
        <w:rPr>
          <w:rFonts w:cstheme="minorHAnsi"/>
        </w:rPr>
        <w:t>”) composed of two or more Managers, out of which: (A) one or more Managers of class A (each a “</w:t>
      </w:r>
      <w:r>
        <w:rPr>
          <w:rFonts w:cstheme="minorHAnsi"/>
          <w:b/>
          <w:bCs w:val="0"/>
        </w:rPr>
        <w:t>Class A Manager</w:t>
      </w:r>
      <w:r>
        <w:rPr>
          <w:rFonts w:cstheme="minorHAnsi"/>
        </w:rPr>
        <w:t>”) and (B) one or more Managers of class B (each a “</w:t>
      </w:r>
      <w:r>
        <w:rPr>
          <w:rFonts w:cstheme="minorHAnsi"/>
          <w:b/>
          <w:bCs w:val="0"/>
        </w:rPr>
        <w:t>Class B Manager</w:t>
      </w:r>
      <w:r>
        <w:rPr>
          <w:rFonts w:cstheme="minorHAnsi"/>
        </w:rPr>
        <w:t>”).</w:t>
      </w:r>
      <w:r>
        <w:rPr>
          <w:rFonts w:cstheme="minorHAnsi"/>
          <w:highlight w:val="cyan"/>
        </w:rPr>
        <w:t>]</w:t>
      </w:r>
    </w:p>
    <w:p w14:paraId="5DD7BAF5" w14:textId="77777777" w:rsidR="00EC45B1" w:rsidRDefault="00EC45B1">
      <w:pPr>
        <w:pStyle w:val="AoALevel3Article11"/>
        <w:widowControl w:val="0"/>
        <w:numPr>
          <w:ilvl w:val="0"/>
          <w:numId w:val="0"/>
        </w:numPr>
        <w:spacing w:after="0"/>
        <w:ind w:left="680"/>
        <w:contextualSpacing/>
        <w:rPr>
          <w:rFonts w:cstheme="minorHAnsi"/>
        </w:rPr>
      </w:pPr>
    </w:p>
    <w:p w14:paraId="382C3D25" w14:textId="77777777" w:rsidR="00EC45B1" w:rsidRDefault="00EC45B1"/>
    <w:p w14:paraId="14327CC0"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14.2</w:t>
      </w:r>
      <w:r>
        <w:rPr>
          <w:rFonts w:cstheme="minorHAnsi"/>
        </w:rPr>
        <w:tab/>
        <w:t xml:space="preserve">In the event the Company is managed by a sole manager, if applicable and the term "sole manager" is not expressly mentioned in these articles of association, a reference to the " board of managers" in these articles must be understood as a reference to the "sole manager". </w:t>
      </w:r>
    </w:p>
    <w:p w14:paraId="6FE89016"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14.3</w:t>
      </w:r>
      <w:r>
        <w:rPr>
          <w:rFonts w:cstheme="minorHAnsi"/>
        </w:rPr>
        <w:tab/>
        <w:t>The board of managers is vested with the most extensive powers to act on behalf of the Company and to take any measure necessary or useful for the fulfilment of the Company's corporate object, with the exception of the powers reserved by the Law or by these articles to the general meeting.</w:t>
      </w:r>
    </w:p>
    <w:p w14:paraId="47ECA0FD" w14:textId="77777777" w:rsidR="00EC45B1"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Article 15</w:t>
      </w:r>
      <w:r>
        <w:rPr>
          <w:rFonts w:cstheme="minorHAnsi"/>
        </w:rPr>
        <w:tab/>
      </w:r>
      <w:r>
        <w:rPr>
          <w:rFonts w:cstheme="minorHAnsi"/>
        </w:rPr>
        <w:tab/>
        <w:t>Daily management</w:t>
      </w:r>
    </w:p>
    <w:p w14:paraId="5BE8F3A2" w14:textId="77777777" w:rsidR="00EC45B1" w:rsidRDefault="00000000">
      <w:pPr>
        <w:pStyle w:val="AoALevel2Article1"/>
        <w:widowControl w:val="0"/>
        <w:numPr>
          <w:ilvl w:val="0"/>
          <w:numId w:val="0"/>
        </w:numPr>
        <w:tabs>
          <w:tab w:val="clear" w:pos="1418"/>
          <w:tab w:val="left" w:pos="851"/>
        </w:tabs>
        <w:spacing w:before="120" w:after="0"/>
        <w:contextualSpacing/>
        <w:rPr>
          <w:rFonts w:cstheme="minorHAnsi"/>
          <w:b w:val="0"/>
          <w:bCs w:val="0"/>
        </w:rPr>
      </w:pPr>
      <w:r>
        <w:rPr>
          <w:rFonts w:cstheme="minorHAnsi"/>
          <w:b w:val="0"/>
          <w:bCs w:val="0"/>
        </w:rPr>
        <w:t>15.1</w:t>
      </w:r>
      <w:r>
        <w:rPr>
          <w:rFonts w:cstheme="minorHAnsi"/>
          <w:b w:val="0"/>
          <w:bCs w:val="0"/>
        </w:rPr>
        <w:tab/>
        <w:t>Daily management of the Company as well as the representation of the Company in connection with such daily management may be delegated to one or more managers or other representatives, acting individually or jointly. Their appointment, dismissal and powers will be determined by a decision of the board of managers.</w:t>
      </w:r>
    </w:p>
    <w:p w14:paraId="12D77302" w14:textId="77777777" w:rsidR="00EC45B1" w:rsidRDefault="00EC45B1">
      <w:pPr>
        <w:pStyle w:val="AoALevel2Article1"/>
        <w:keepNext w:val="0"/>
        <w:widowControl w:val="0"/>
        <w:numPr>
          <w:ilvl w:val="0"/>
          <w:numId w:val="0"/>
        </w:numPr>
        <w:tabs>
          <w:tab w:val="clear" w:pos="1418"/>
          <w:tab w:val="left" w:pos="851"/>
        </w:tabs>
        <w:spacing w:before="120" w:after="0"/>
        <w:contextualSpacing/>
        <w:rPr>
          <w:rFonts w:cstheme="minorHAnsi"/>
        </w:rPr>
      </w:pPr>
    </w:p>
    <w:p w14:paraId="6E63CF71" w14:textId="77777777" w:rsidR="00EC45B1" w:rsidRDefault="00000000">
      <w:pPr>
        <w:pStyle w:val="AoALevel2Article1"/>
        <w:widowControl w:val="0"/>
        <w:numPr>
          <w:ilvl w:val="0"/>
          <w:numId w:val="0"/>
        </w:numPr>
        <w:tabs>
          <w:tab w:val="clear" w:pos="1418"/>
          <w:tab w:val="left" w:pos="851"/>
        </w:tabs>
        <w:spacing w:before="120" w:after="0"/>
        <w:contextualSpacing/>
        <w:rPr>
          <w:rFonts w:cstheme="minorHAnsi"/>
        </w:rPr>
      </w:pPr>
      <w:r>
        <w:rPr>
          <w:rFonts w:cstheme="minorHAnsi"/>
        </w:rPr>
        <w:t>Article 16</w:t>
      </w:r>
      <w:r>
        <w:rPr>
          <w:rFonts w:cstheme="minorHAnsi"/>
        </w:rPr>
        <w:tab/>
      </w:r>
      <w:r>
        <w:rPr>
          <w:rFonts w:cstheme="minorHAnsi"/>
        </w:rPr>
        <w:tab/>
        <w:t>Appointment, dismissal, remuneration and term of office of the managers</w:t>
      </w:r>
    </w:p>
    <w:p w14:paraId="061A1957"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16.1</w:t>
      </w:r>
      <w:r>
        <w:rPr>
          <w:rFonts w:cstheme="minorHAnsi"/>
        </w:rPr>
        <w:tab/>
        <w:t xml:space="preserve">The managers are appointed by the general meeting which determines their remuneration (if applicable) and the duration of their mandate. </w:t>
      </w:r>
    </w:p>
    <w:p w14:paraId="324AD8AD"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16.2</w:t>
      </w:r>
      <w:r>
        <w:rPr>
          <w:rFonts w:cstheme="minorHAnsi"/>
        </w:rPr>
        <w:tab/>
        <w:t xml:space="preserve">Managers are appointed and can be freely dismissed at any time, with or without cause, by a decision of the partners representing more than half of the share capital of the Company. </w:t>
      </w:r>
    </w:p>
    <w:p w14:paraId="7C6735EB" w14:textId="5CE715BC" w:rsidR="00EC45B1" w:rsidRDefault="00000000">
      <w:pPr>
        <w:pStyle w:val="AoALevel2Article1"/>
        <w:keepNext w:val="0"/>
        <w:widowControl w:val="0"/>
        <w:numPr>
          <w:ilvl w:val="0"/>
          <w:numId w:val="0"/>
        </w:numPr>
        <w:tabs>
          <w:tab w:val="clear" w:pos="1418"/>
          <w:tab w:val="left" w:pos="993"/>
        </w:tabs>
        <w:spacing w:before="120" w:after="0"/>
        <w:contextualSpacing/>
        <w:rPr>
          <w:rFonts w:cstheme="minorHAnsi"/>
        </w:rPr>
      </w:pPr>
      <w:r>
        <w:rPr>
          <w:rFonts w:cstheme="minorHAnsi"/>
        </w:rPr>
        <w:t xml:space="preserve">Article 17 </w:t>
      </w:r>
      <w:r>
        <w:rPr>
          <w:rFonts w:cstheme="minorHAnsi"/>
        </w:rPr>
        <w:tab/>
      </w:r>
      <w:r w:rsidR="007F5ECF">
        <w:rPr>
          <w:rFonts w:cstheme="minorHAnsi"/>
        </w:rPr>
        <w:tab/>
      </w:r>
      <w:r w:rsidR="007F5ECF">
        <w:rPr>
          <w:rFonts w:cstheme="minorHAnsi"/>
        </w:rPr>
        <w:tab/>
      </w:r>
      <w:r>
        <w:rPr>
          <w:rFonts w:cstheme="minorHAnsi"/>
        </w:rPr>
        <w:t>Convening notices to the meetings of the board of managers</w:t>
      </w:r>
    </w:p>
    <w:p w14:paraId="1E8C66BE"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17.1</w:t>
      </w:r>
      <w:r>
        <w:rPr>
          <w:rFonts w:cstheme="minorHAnsi"/>
        </w:rPr>
        <w:tab/>
        <w:t>The board of managers meets if convened by any manager. The meetings of the board of managers are held at the registered office of the Company unless otherwise specified in the convening notice for the meeting.</w:t>
      </w:r>
    </w:p>
    <w:p w14:paraId="0B4E4FEF"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lastRenderedPageBreak/>
        <w:t>17.2</w:t>
      </w:r>
      <w:r>
        <w:rPr>
          <w:rFonts w:cstheme="minorHAnsi"/>
        </w:rPr>
        <w:tab/>
        <w:t xml:space="preserve">A written convening notice to any meeting of the board of managers must be given to the managers at least twenty-four (24) hours in advance of the time set for the meeting, except in urgent cases, in which case the nature and the reasons for such an emergency will be mentioned in the convening notice. Such convening notice may be omitted in the event of written approval by each manager by fax, e-mail or by any other means of communication, a copy of a signed document being sufficient proof of this approval. No prior convening notice is required for a meeting of the board of managers of which the place and time have been determined by a decision adopted at a previous meeting of the board of managers, communicated to all members of the board of managers. </w:t>
      </w:r>
    </w:p>
    <w:p w14:paraId="565D2D2F"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17.3</w:t>
      </w:r>
      <w:r>
        <w:rPr>
          <w:rFonts w:cstheme="minorHAnsi"/>
        </w:rPr>
        <w:tab/>
        <w:t>No prior convening notice will be required in the event all managers will be present or represented at a meeting of the board of managers and waive the formalities of the convening notice or in the event of written decisions approved by all members of the board of managers.</w:t>
      </w:r>
    </w:p>
    <w:p w14:paraId="4F9B481A" w14:textId="77777777" w:rsidR="00EC45B1"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Article 18</w:t>
      </w:r>
      <w:r>
        <w:rPr>
          <w:rFonts w:cstheme="minorHAnsi"/>
        </w:rPr>
        <w:tab/>
      </w:r>
      <w:r>
        <w:rPr>
          <w:rFonts w:cstheme="minorHAnsi"/>
        </w:rPr>
        <w:tab/>
        <w:t>Conduct of the meetings of the board of managers</w:t>
      </w:r>
    </w:p>
    <w:p w14:paraId="1329FA18" w14:textId="77777777" w:rsidR="00EC45B1" w:rsidRDefault="00000000">
      <w:pPr>
        <w:pStyle w:val="AoALevel3Article11"/>
        <w:widowControl w:val="0"/>
        <w:numPr>
          <w:ilvl w:val="0"/>
          <w:numId w:val="0"/>
        </w:numPr>
        <w:tabs>
          <w:tab w:val="left" w:pos="680"/>
        </w:tabs>
        <w:spacing w:after="0"/>
        <w:ind w:left="680" w:hanging="680"/>
        <w:contextualSpacing/>
      </w:pPr>
      <w:r>
        <w:rPr>
          <w:rFonts w:cstheme="minorHAnsi"/>
        </w:rPr>
        <w:t>18.1</w:t>
      </w:r>
      <w:r>
        <w:rPr>
          <w:rFonts w:cstheme="minorHAnsi"/>
        </w:rPr>
        <w:tab/>
        <w:t>The board of managers may elect a chairman of the board of managers from among its members. It may also appoint a secretary, who may not be a member of the board of managers and who will be responsible for keeping the minutes of the meetings of the board of managers.</w:t>
      </w:r>
    </w:p>
    <w:p w14:paraId="4C6C2CBB" w14:textId="77777777" w:rsidR="00EC45B1" w:rsidRDefault="00000000">
      <w:pPr>
        <w:pStyle w:val="AoALevel3Article11"/>
        <w:widowControl w:val="0"/>
        <w:numPr>
          <w:ilvl w:val="0"/>
          <w:numId w:val="0"/>
        </w:numPr>
        <w:tabs>
          <w:tab w:val="left" w:pos="680"/>
        </w:tabs>
        <w:spacing w:after="0"/>
        <w:ind w:left="680" w:hanging="680"/>
        <w:contextualSpacing/>
      </w:pPr>
      <w:r>
        <w:rPr>
          <w:rFonts w:cstheme="minorHAnsi"/>
        </w:rPr>
        <w:t>18.2</w:t>
      </w:r>
      <w:r>
        <w:rPr>
          <w:rFonts w:cstheme="minorHAnsi"/>
        </w:rPr>
        <w:tab/>
        <w:t xml:space="preserve">The chairman of the board of managers, if there is one, presides over all meetings of the board of managers. In his absence, the board of managers may temporarily appoint another manager as temporary chairman by a majority vote of the managers present or represented at the meeting. The chairman, if necessary, will have a casting vote in the event of a tie.  </w:t>
      </w:r>
    </w:p>
    <w:p w14:paraId="6CFCDCBF" w14:textId="77777777" w:rsidR="00EC45B1" w:rsidRDefault="00000000">
      <w:pPr>
        <w:pStyle w:val="AoALevel3Article11"/>
        <w:widowControl w:val="0"/>
        <w:numPr>
          <w:ilvl w:val="0"/>
          <w:numId w:val="0"/>
        </w:numPr>
        <w:tabs>
          <w:tab w:val="left" w:pos="680"/>
        </w:tabs>
        <w:spacing w:after="0"/>
        <w:ind w:left="680" w:hanging="680"/>
        <w:contextualSpacing/>
      </w:pPr>
      <w:r>
        <w:rPr>
          <w:rFonts w:cstheme="minorHAnsi"/>
        </w:rPr>
        <w:t>18.3</w:t>
      </w:r>
      <w:r>
        <w:rPr>
          <w:rFonts w:cstheme="minorHAnsi"/>
        </w:rPr>
        <w:tab/>
        <w:t>Any manager may be represented at any meeting of the board of managers by appointing any other manager as his representative in writing, fax, e-mail or any other means of communication, a copy of the mandate being sufficient proof thereof. A manager may represent one or more managers, but not all the members of the board of managers.</w:t>
      </w:r>
    </w:p>
    <w:p w14:paraId="3BAD6AEC" w14:textId="77777777" w:rsidR="00EC45B1" w:rsidRDefault="00000000">
      <w:pPr>
        <w:pStyle w:val="AoALevel3Article11"/>
        <w:widowControl w:val="0"/>
        <w:numPr>
          <w:ilvl w:val="0"/>
          <w:numId w:val="0"/>
        </w:numPr>
        <w:tabs>
          <w:tab w:val="left" w:pos="680"/>
        </w:tabs>
        <w:spacing w:after="0"/>
        <w:ind w:left="680" w:hanging="680"/>
        <w:contextualSpacing/>
      </w:pPr>
      <w:r>
        <w:rPr>
          <w:rFonts w:cstheme="minorHAnsi"/>
        </w:rPr>
        <w:t>18.4</w:t>
      </w:r>
      <w:r>
        <w:rPr>
          <w:rFonts w:cstheme="minorHAnsi"/>
        </w:rPr>
        <w:tab/>
        <w:t>The meetings of the board of managers can also be held by conference call, videoconference or by any other means of communication allowing all the people participating to hear each without interruption, guaranteeing effective participation in this meeting. Participation in a meeting by these means is equivalent to participation in person and the meeting held by such means of communication is deemed to have been held at the registered office of the Company.</w:t>
      </w:r>
    </w:p>
    <w:p w14:paraId="06EBA9FE" w14:textId="77777777" w:rsidR="00EC45B1" w:rsidRDefault="00000000">
      <w:pPr>
        <w:pStyle w:val="AoALevel3Article11"/>
        <w:widowControl w:val="0"/>
        <w:numPr>
          <w:ilvl w:val="0"/>
          <w:numId w:val="0"/>
        </w:numPr>
        <w:tabs>
          <w:tab w:val="left" w:pos="680"/>
        </w:tabs>
        <w:spacing w:after="0"/>
        <w:ind w:left="680" w:hanging="680"/>
        <w:contextualSpacing/>
      </w:pPr>
      <w:r>
        <w:rPr>
          <w:rFonts w:cstheme="minorHAnsi"/>
        </w:rPr>
        <w:t>18.5</w:t>
      </w:r>
      <w:r>
        <w:rPr>
          <w:rFonts w:cstheme="minorHAnsi"/>
        </w:rPr>
        <w:tab/>
        <w:t xml:space="preserve">The board of managers can only deliberate or act validly if at least </w:t>
      </w:r>
      <w:proofErr w:type="gramStart"/>
      <w:r>
        <w:rPr>
          <w:rFonts w:cstheme="minorHAnsi"/>
        </w:rPr>
        <w:t>the majority of</w:t>
      </w:r>
      <w:proofErr w:type="gramEnd"/>
      <w:r>
        <w:rPr>
          <w:rFonts w:cstheme="minorHAnsi"/>
        </w:rPr>
        <w:t xml:space="preserve"> its members are present or represented at a meeting of the board of managers. </w:t>
      </w:r>
    </w:p>
    <w:p w14:paraId="19E528FA" w14:textId="77777777" w:rsidR="00EC45B1" w:rsidRDefault="00000000">
      <w:pPr>
        <w:pStyle w:val="AoALevel3Article11"/>
        <w:widowControl w:val="0"/>
        <w:numPr>
          <w:ilvl w:val="0"/>
          <w:numId w:val="0"/>
        </w:numPr>
        <w:tabs>
          <w:tab w:val="left" w:pos="680"/>
        </w:tabs>
        <w:spacing w:after="0"/>
        <w:ind w:left="680" w:hanging="680"/>
        <w:contextualSpacing/>
      </w:pPr>
      <w:r>
        <w:rPr>
          <w:rFonts w:cstheme="minorHAnsi"/>
        </w:rPr>
        <w:t>18.6</w:t>
      </w:r>
      <w:r>
        <w:rPr>
          <w:rFonts w:cstheme="minorHAnsi"/>
        </w:rPr>
        <w:tab/>
        <w:t xml:space="preserve">Decisions are taken by a majority of the votes of the managers present or represented at each meeting of the board of managers. </w:t>
      </w:r>
    </w:p>
    <w:p w14:paraId="0761BF0A"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18.7</w:t>
      </w:r>
      <w:r>
        <w:rPr>
          <w:rFonts w:cstheme="minorHAnsi"/>
        </w:rPr>
        <w:tab/>
        <w:t>The board of managers may, unanimously, take decisions by circular means by expressing its approval in writing, fax, e-mail or by any other means of communication. Each manager can express his consent separately, all the consents attesting to the adoption of decisions. The date of these decisions will be the date of the last signature. The resolutions adopted will be considered as having been taken at the registered office of the Company.</w:t>
      </w:r>
    </w:p>
    <w:p w14:paraId="4BEA894C" w14:textId="77777777" w:rsidR="00EC45B1"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Article 19</w:t>
      </w:r>
      <w:r>
        <w:rPr>
          <w:rFonts w:cstheme="minorHAnsi"/>
        </w:rPr>
        <w:tab/>
      </w:r>
      <w:r>
        <w:rPr>
          <w:rFonts w:cstheme="minorHAnsi"/>
        </w:rPr>
        <w:tab/>
        <w:t>Conflict of interest</w:t>
      </w:r>
    </w:p>
    <w:p w14:paraId="7FA1F7F4"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19.1</w:t>
      </w:r>
      <w:r>
        <w:rPr>
          <w:rFonts w:cstheme="minorHAnsi"/>
        </w:rPr>
        <w:tab/>
        <w:t xml:space="preserve">Unless otherwise provided by Law, any manager who has, directly or indirectly, an interest of financial nature opposite to that of the Company in connection with a transaction falling under the competence of the board of managers is obliged to notify the board of managers accordingly and have this statement mentioned in the minutes of the meeting. Such manager may not take part in the discussions regarding this operation, nor in the vote relating thereto. This conflict of interest must also be the subject of a report to the partners at the next general meeting and before any decision of the general meeting of partners on any other item on the agenda is taken. </w:t>
      </w:r>
    </w:p>
    <w:p w14:paraId="03B2598F" w14:textId="77777777" w:rsidR="00EC45B1" w:rsidRDefault="00000000">
      <w:pPr>
        <w:pStyle w:val="AoALevel3Article11"/>
        <w:widowControl w:val="0"/>
        <w:numPr>
          <w:ilvl w:val="0"/>
          <w:numId w:val="0"/>
        </w:numPr>
        <w:tabs>
          <w:tab w:val="left" w:pos="680"/>
        </w:tabs>
        <w:spacing w:after="0"/>
        <w:ind w:left="680" w:hanging="680"/>
        <w:contextualSpacing/>
      </w:pPr>
      <w:r>
        <w:rPr>
          <w:rFonts w:cstheme="minorHAnsi"/>
        </w:rPr>
        <w:t>19.2</w:t>
      </w:r>
      <w:r>
        <w:rPr>
          <w:rFonts w:cstheme="minorHAnsi"/>
        </w:rPr>
        <w:tab/>
        <w:t xml:space="preserve">If the Company has a sole manager, transactions concluded between the Company and that manager having an interest opposite to that of the Company must be mentioned in the decision of the sole manager. </w:t>
      </w:r>
    </w:p>
    <w:p w14:paraId="6C22779F" w14:textId="77777777" w:rsidR="00EC45B1" w:rsidRDefault="00000000">
      <w:pPr>
        <w:pStyle w:val="AoALevel3Article11"/>
        <w:widowControl w:val="0"/>
        <w:numPr>
          <w:ilvl w:val="0"/>
          <w:numId w:val="0"/>
        </w:numPr>
        <w:tabs>
          <w:tab w:val="left" w:pos="680"/>
        </w:tabs>
        <w:spacing w:after="0"/>
        <w:ind w:left="680" w:hanging="680"/>
        <w:contextualSpacing/>
      </w:pPr>
      <w:r>
        <w:rPr>
          <w:rFonts w:cstheme="minorHAnsi"/>
        </w:rPr>
        <w:t>19.3</w:t>
      </w:r>
      <w:r>
        <w:rPr>
          <w:rFonts w:cstheme="minorHAnsi"/>
        </w:rPr>
        <w:tab/>
        <w:t>When, due to a conflict of interest, the number of managers required to validly deliberate is not reached, the board of managers may decide to refer the decision on this specific point to the general meeting.</w:t>
      </w:r>
    </w:p>
    <w:p w14:paraId="01540334"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19.4</w:t>
      </w:r>
      <w:r>
        <w:rPr>
          <w:rFonts w:cstheme="minorHAnsi"/>
        </w:rPr>
        <w:tab/>
        <w:t xml:space="preserve">The rules governing the conflict of interest do not apply when the decision of the board of managers </w:t>
      </w:r>
      <w:r>
        <w:rPr>
          <w:rFonts w:cstheme="minorHAnsi"/>
        </w:rPr>
        <w:lastRenderedPageBreak/>
        <w:t xml:space="preserve">or the sole manager relates to current transactions concluded under normal conditions. </w:t>
      </w:r>
    </w:p>
    <w:p w14:paraId="0F0B9FDC" w14:textId="77777777" w:rsidR="00EC45B1"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 xml:space="preserve">Article 20 </w:t>
      </w:r>
      <w:r>
        <w:rPr>
          <w:rFonts w:cstheme="minorHAnsi"/>
        </w:rPr>
        <w:tab/>
      </w:r>
      <w:r>
        <w:rPr>
          <w:rFonts w:cstheme="minorHAnsi"/>
        </w:rPr>
        <w:tab/>
        <w:t>Minutes of the meetings of the board of managers / minutes of the decisions of the sole manager.</w:t>
      </w:r>
    </w:p>
    <w:p w14:paraId="4C0076B7"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20.1</w:t>
      </w:r>
      <w:r>
        <w:rPr>
          <w:rFonts w:cstheme="minorHAnsi"/>
        </w:rPr>
        <w:tab/>
        <w:t>The minutes of all meetings of the board of managers will be signed by (</w:t>
      </w:r>
      <w:proofErr w:type="spellStart"/>
      <w:r>
        <w:rPr>
          <w:rFonts w:cstheme="minorHAnsi"/>
        </w:rPr>
        <w:t>i</w:t>
      </w:r>
      <w:proofErr w:type="spellEnd"/>
      <w:r>
        <w:rPr>
          <w:rFonts w:cstheme="minorHAnsi"/>
        </w:rPr>
        <w:t xml:space="preserve">) the chairman, if there is one, or in his absence, by the temporary chairman, and the secretary (if there is one) or (ii) by any manager. The copies or extracts of these minutes that may be produced in court or in any other context will be signed by the chairman, if there is one, or by any manager. </w:t>
      </w:r>
    </w:p>
    <w:p w14:paraId="48D72DDF"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20.2</w:t>
      </w:r>
      <w:r>
        <w:rPr>
          <w:rFonts w:cstheme="minorHAnsi"/>
        </w:rPr>
        <w:tab/>
        <w:t xml:space="preserve">The decisions of the sole manager are recorded in minutes which will be signed by the sole manager. Copies or extracts of these minutes that may be produced in court or in any other context will be signed by the sole manager. </w:t>
      </w:r>
    </w:p>
    <w:p w14:paraId="0207AF03" w14:textId="77777777" w:rsidR="00EC45B1"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Article 21</w:t>
      </w:r>
      <w:r>
        <w:rPr>
          <w:rFonts w:cstheme="minorHAnsi"/>
        </w:rPr>
        <w:tab/>
      </w:r>
      <w:r>
        <w:rPr>
          <w:rFonts w:cstheme="minorHAnsi"/>
        </w:rPr>
        <w:tab/>
        <w:t>Relations with third parties</w:t>
      </w:r>
    </w:p>
    <w:p w14:paraId="7BD1C840" w14:textId="77777777" w:rsidR="00EC45B1" w:rsidRDefault="00000000">
      <w:pPr>
        <w:widowControl w:val="0"/>
        <w:tabs>
          <w:tab w:val="left" w:pos="1134"/>
        </w:tabs>
        <w:contextualSpacing/>
        <w:jc w:val="both"/>
        <w:rPr>
          <w:rFonts w:cstheme="minorHAnsi"/>
          <w:i/>
          <w:iCs/>
          <w:highlight w:val="cyan"/>
          <w:lang w:val="en-GB"/>
        </w:rPr>
      </w:pPr>
      <w:r>
        <w:rPr>
          <w:rFonts w:cstheme="minorHAnsi"/>
          <w:i/>
          <w:iCs/>
          <w:highlight w:val="cyan"/>
          <w:lang w:val="en-GB"/>
        </w:rPr>
        <w:t>Example of standard provision:</w:t>
      </w:r>
    </w:p>
    <w:p w14:paraId="39FC2801" w14:textId="77777777" w:rsidR="00EC45B1" w:rsidRDefault="00000000">
      <w:pPr>
        <w:pStyle w:val="AoALevel3Article11"/>
        <w:widowControl w:val="0"/>
        <w:numPr>
          <w:ilvl w:val="0"/>
          <w:numId w:val="0"/>
        </w:numPr>
        <w:tabs>
          <w:tab w:val="left" w:pos="0"/>
        </w:tabs>
        <w:spacing w:after="0"/>
        <w:ind w:right="20"/>
        <w:contextualSpacing/>
        <w:rPr>
          <w:rFonts w:cstheme="minorHAnsi"/>
        </w:rPr>
      </w:pPr>
      <w:r>
        <w:rPr>
          <w:rFonts w:cstheme="minorHAnsi"/>
        </w:rPr>
        <w:t>The Company will be validly bound towards third parties in all circumstances (</w:t>
      </w:r>
      <w:proofErr w:type="spellStart"/>
      <w:r>
        <w:rPr>
          <w:rFonts w:cstheme="minorHAnsi"/>
        </w:rPr>
        <w:t>i</w:t>
      </w:r>
      <w:proofErr w:type="spellEnd"/>
      <w:r>
        <w:rPr>
          <w:rFonts w:cstheme="minorHAnsi"/>
        </w:rPr>
        <w:t>) by</w:t>
      </w:r>
      <w:r>
        <w:rPr>
          <w:rStyle w:val="BodytextBold"/>
          <w:rFonts w:cstheme="minorHAnsi"/>
          <w:sz w:val="22"/>
          <w:szCs w:val="22"/>
        </w:rPr>
        <w:t xml:space="preserve"> the signature of the sole manager, or, if the Company has several managers, by </w:t>
      </w:r>
      <w:r>
        <w:rPr>
          <w:rFonts w:cstheme="minorHAnsi"/>
        </w:rPr>
        <w:t xml:space="preserve">the joint signature of two managers, or (ii) the joint signature or the sole signature of all persons to whom such signing authority has been delegated by the board of managers, within the limits of this delegation. </w:t>
      </w:r>
    </w:p>
    <w:p w14:paraId="1997765F" w14:textId="77777777" w:rsidR="00EC45B1" w:rsidRDefault="00EC45B1">
      <w:pPr>
        <w:pStyle w:val="AoALevel3Article11"/>
        <w:widowControl w:val="0"/>
        <w:numPr>
          <w:ilvl w:val="0"/>
          <w:numId w:val="0"/>
        </w:numPr>
        <w:tabs>
          <w:tab w:val="left" w:pos="0"/>
        </w:tabs>
        <w:spacing w:after="0"/>
        <w:ind w:right="20"/>
        <w:contextualSpacing/>
        <w:rPr>
          <w:rFonts w:cstheme="minorHAnsi"/>
        </w:rPr>
      </w:pPr>
    </w:p>
    <w:p w14:paraId="62A4E357" w14:textId="77777777" w:rsidR="00EC45B1" w:rsidRDefault="00000000">
      <w:pPr>
        <w:widowControl w:val="0"/>
        <w:tabs>
          <w:tab w:val="left" w:pos="1134"/>
        </w:tabs>
        <w:contextualSpacing/>
        <w:jc w:val="both"/>
        <w:rPr>
          <w:rFonts w:cstheme="minorHAnsi"/>
          <w:i/>
          <w:iCs/>
          <w:highlight w:val="cyan"/>
          <w:lang w:val="en-GB"/>
        </w:rPr>
      </w:pPr>
      <w:r>
        <w:rPr>
          <w:rFonts w:cstheme="minorHAnsi"/>
          <w:i/>
          <w:iCs/>
          <w:highlight w:val="cyan"/>
          <w:lang w:val="en-GB"/>
        </w:rPr>
        <w:t>Example of provision depending on the value:</w:t>
      </w:r>
    </w:p>
    <w:p w14:paraId="6AB26FB9" w14:textId="77777777" w:rsidR="00EC45B1" w:rsidRDefault="00000000">
      <w:pPr>
        <w:pStyle w:val="AoALevel3Article11"/>
        <w:widowControl w:val="0"/>
        <w:numPr>
          <w:ilvl w:val="0"/>
          <w:numId w:val="0"/>
        </w:numPr>
        <w:tabs>
          <w:tab w:val="left" w:pos="0"/>
        </w:tabs>
        <w:spacing w:after="0"/>
        <w:ind w:right="20"/>
        <w:contextualSpacing/>
        <w:rPr>
          <w:rFonts w:cstheme="minorHAnsi"/>
        </w:rPr>
      </w:pPr>
      <w:r>
        <w:rPr>
          <w:rFonts w:cstheme="minorHAnsi"/>
        </w:rPr>
        <w:t>The Company is bound by the sole signature of any one manager for decisions having a value of an amount of up to [</w:t>
      </w:r>
      <w:r>
        <w:rPr>
          <w:rFonts w:cstheme="minorHAnsi"/>
          <w:highlight w:val="yellow"/>
        </w:rPr>
        <w:t>amount + currency</w:t>
      </w:r>
      <w:r>
        <w:rPr>
          <w:rFonts w:cstheme="minorHAnsi"/>
        </w:rPr>
        <w:t>]. For decisions having a value of an amount over [</w:t>
      </w:r>
      <w:r>
        <w:rPr>
          <w:rFonts w:cstheme="minorHAnsi"/>
          <w:highlight w:val="yellow"/>
        </w:rPr>
        <w:t>amount + currency</w:t>
      </w:r>
      <w:r>
        <w:rPr>
          <w:rFonts w:cstheme="minorHAnsi"/>
        </w:rPr>
        <w:t>], the Company is bound by the joint signature of at least two managers in case of plurality of managers.</w:t>
      </w:r>
    </w:p>
    <w:p w14:paraId="5A74F45B" w14:textId="77777777" w:rsidR="00EC45B1" w:rsidRDefault="00000000">
      <w:pPr>
        <w:pStyle w:val="AoALevel1ABC"/>
        <w:keepNext w:val="0"/>
        <w:widowControl w:val="0"/>
        <w:numPr>
          <w:ilvl w:val="0"/>
          <w:numId w:val="57"/>
        </w:numPr>
        <w:pBdr>
          <w:bottom w:val="single" w:sz="6" w:space="4" w:color="1F4E5F"/>
        </w:pBdr>
        <w:tabs>
          <w:tab w:val="clear" w:pos="680"/>
          <w:tab w:val="left" w:pos="284"/>
        </w:tabs>
        <w:spacing w:before="360" w:after="240"/>
        <w:ind w:left="677" w:hanging="677"/>
        <w:contextualSpacing/>
        <w:rPr>
          <w:rFonts w:cstheme="minorHAnsi"/>
          <w:lang w:val="en-GB"/>
        </w:rPr>
      </w:pPr>
      <w:r>
        <w:rPr>
          <w:rFonts w:cstheme="minorHAnsi"/>
          <w:lang w:val="en-GB"/>
        </w:rPr>
        <w:t xml:space="preserve">AUDIT AND SUPERVISION </w:t>
      </w:r>
    </w:p>
    <w:p w14:paraId="53CF3354" w14:textId="2839B0F4" w:rsidR="00EC45B1" w:rsidRDefault="00000000">
      <w:pPr>
        <w:pStyle w:val="AoALevel2Article1"/>
        <w:keepNext w:val="0"/>
        <w:widowControl w:val="0"/>
        <w:numPr>
          <w:ilvl w:val="0"/>
          <w:numId w:val="0"/>
        </w:numPr>
        <w:tabs>
          <w:tab w:val="clear" w:pos="1418"/>
          <w:tab w:val="left" w:pos="1134"/>
        </w:tabs>
        <w:spacing w:before="120" w:after="0"/>
        <w:contextualSpacing/>
        <w:rPr>
          <w:rFonts w:cstheme="minorHAnsi"/>
        </w:rPr>
      </w:pPr>
      <w:r>
        <w:rPr>
          <w:rFonts w:cstheme="minorHAnsi"/>
        </w:rPr>
        <w:t xml:space="preserve">Article 22 </w:t>
      </w:r>
      <w:r w:rsidR="007F5ECF">
        <w:rPr>
          <w:rFonts w:cstheme="minorHAnsi"/>
        </w:rPr>
        <w:tab/>
      </w:r>
      <w:r>
        <w:rPr>
          <w:rFonts w:cstheme="minorHAnsi"/>
        </w:rPr>
        <w:tab/>
        <w:t>Auditor(s) – Approved statutory auditor(s)</w:t>
      </w:r>
    </w:p>
    <w:p w14:paraId="4EF10969"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22.1</w:t>
      </w:r>
      <w:r>
        <w:rPr>
          <w:rFonts w:cstheme="minorHAnsi"/>
        </w:rPr>
        <w:tab/>
        <w:t xml:space="preserve">In the event that, and </w:t>
      </w:r>
      <w:proofErr w:type="gramStart"/>
      <w:r>
        <w:rPr>
          <w:rFonts w:cstheme="minorHAnsi"/>
        </w:rPr>
        <w:t>as long as</w:t>
      </w:r>
      <w:proofErr w:type="gramEnd"/>
      <w:r>
        <w:rPr>
          <w:rFonts w:cstheme="minorHAnsi"/>
        </w:rPr>
        <w:t xml:space="preserve"> the Company has more than sixty (60) partners, the Company's operations will be monitored by one or more auditors (commissaires). The general meeting appoints the auditors and determines the duration of their mandates.</w:t>
      </w:r>
    </w:p>
    <w:p w14:paraId="1002F091"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22.2</w:t>
      </w:r>
      <w:r>
        <w:rPr>
          <w:rFonts w:cstheme="minorHAnsi"/>
        </w:rPr>
        <w:tab/>
        <w:t>An auditor may be dismissed at any time, without notice and without cause, by the general meeting.</w:t>
      </w:r>
    </w:p>
    <w:p w14:paraId="5BD3A1F9"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22.3</w:t>
      </w:r>
      <w:r>
        <w:rPr>
          <w:rFonts w:cstheme="minorHAnsi"/>
        </w:rPr>
        <w:tab/>
        <w:t>The auditor has an unlimited right of permanent supervision and control over all the operations of the Company.</w:t>
      </w:r>
    </w:p>
    <w:p w14:paraId="60F9A93E"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22.4</w:t>
      </w:r>
      <w:r>
        <w:rPr>
          <w:rFonts w:cstheme="minorHAnsi"/>
        </w:rPr>
        <w:tab/>
        <w:t>If the partners of the Company designate one or more approved statutory auditors (</w:t>
      </w:r>
      <w:proofErr w:type="spellStart"/>
      <w:r>
        <w:rPr>
          <w:rFonts w:cstheme="minorHAnsi"/>
          <w:i/>
          <w:iCs/>
        </w:rPr>
        <w:t>réviseurs</w:t>
      </w:r>
      <w:proofErr w:type="spellEnd"/>
      <w:r>
        <w:rPr>
          <w:rFonts w:cstheme="minorHAnsi"/>
          <w:i/>
          <w:iCs/>
        </w:rPr>
        <w:t xml:space="preserve"> </w:t>
      </w:r>
      <w:proofErr w:type="spellStart"/>
      <w:r>
        <w:rPr>
          <w:rFonts w:cstheme="minorHAnsi"/>
          <w:i/>
          <w:iCs/>
        </w:rPr>
        <w:t>d'entreprises</w:t>
      </w:r>
      <w:proofErr w:type="spellEnd"/>
      <w:r>
        <w:rPr>
          <w:rFonts w:cstheme="minorHAnsi"/>
          <w:i/>
          <w:iCs/>
        </w:rPr>
        <w:t xml:space="preserve"> </w:t>
      </w:r>
      <w:proofErr w:type="spellStart"/>
      <w:r>
        <w:rPr>
          <w:rFonts w:cstheme="minorHAnsi"/>
          <w:i/>
          <w:iCs/>
        </w:rPr>
        <w:t>agréé</w:t>
      </w:r>
      <w:proofErr w:type="spellEnd"/>
      <w:r>
        <w:rPr>
          <w:rFonts w:cstheme="minorHAnsi"/>
        </w:rPr>
        <w:t xml:space="preserve">) in accordance with article 69 of the law of December 19, </w:t>
      </w:r>
      <w:proofErr w:type="gramStart"/>
      <w:r>
        <w:rPr>
          <w:rFonts w:cstheme="minorHAnsi"/>
        </w:rPr>
        <w:t>2002</w:t>
      </w:r>
      <w:proofErr w:type="gramEnd"/>
      <w:r>
        <w:rPr>
          <w:rFonts w:cstheme="minorHAnsi"/>
        </w:rPr>
        <w:t xml:space="preserve"> on the trade and companies register as well as on the accounting and annual accounts of companies, as amended, the function of auditor will no longer be necessary.</w:t>
      </w:r>
    </w:p>
    <w:p w14:paraId="64DE9CEB"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22.5</w:t>
      </w:r>
      <w:r>
        <w:rPr>
          <w:rFonts w:cstheme="minorHAnsi"/>
        </w:rPr>
        <w:tab/>
        <w:t xml:space="preserve">The </w:t>
      </w:r>
      <w:r>
        <w:rPr>
          <w:rStyle w:val="Bodytext11ptBold"/>
          <w:rFonts w:cstheme="minorHAnsi"/>
        </w:rPr>
        <w:t>approved statutory auditor</w:t>
      </w:r>
      <w:r>
        <w:rPr>
          <w:rFonts w:cstheme="minorHAnsi"/>
        </w:rPr>
        <w:t xml:space="preserve"> may only be dismissed by the general meeting for just cause or with its approval.</w:t>
      </w:r>
    </w:p>
    <w:p w14:paraId="4B36C4B4" w14:textId="77777777" w:rsidR="00EC45B1" w:rsidRDefault="00000000">
      <w:pPr>
        <w:pStyle w:val="AoALevel1ABC"/>
        <w:keepNext w:val="0"/>
        <w:widowControl w:val="0"/>
        <w:numPr>
          <w:ilvl w:val="0"/>
          <w:numId w:val="58"/>
        </w:numPr>
        <w:pBdr>
          <w:bottom w:val="single" w:sz="6" w:space="4" w:color="1F4E5F"/>
        </w:pBdr>
        <w:tabs>
          <w:tab w:val="clear" w:pos="680"/>
        </w:tabs>
        <w:spacing w:before="360" w:after="240"/>
        <w:ind w:left="288" w:hanging="288"/>
        <w:contextualSpacing/>
        <w:rPr>
          <w:rFonts w:cstheme="minorHAnsi"/>
          <w:lang w:val="en-GB"/>
        </w:rPr>
      </w:pPr>
      <w:r>
        <w:rPr>
          <w:rFonts w:cstheme="minorHAnsi"/>
          <w:lang w:val="en-GB"/>
        </w:rPr>
        <w:t xml:space="preserve">FINANCIAL YEAR - ANNUAL ACCOUNTS – ALLOCATION OF PROFITS – RESERVES – DIVIDENDS </w:t>
      </w:r>
    </w:p>
    <w:p w14:paraId="0F25055C" w14:textId="77777777" w:rsidR="00EC45B1" w:rsidRDefault="00000000">
      <w:pPr>
        <w:pStyle w:val="AoALevel2Article1"/>
        <w:keepNext w:val="0"/>
        <w:widowControl w:val="0"/>
        <w:numPr>
          <w:ilvl w:val="0"/>
          <w:numId w:val="0"/>
        </w:numPr>
        <w:tabs>
          <w:tab w:val="clear" w:pos="1418"/>
          <w:tab w:val="left" w:pos="1276"/>
        </w:tabs>
        <w:spacing w:before="120" w:after="0"/>
        <w:contextualSpacing/>
        <w:rPr>
          <w:rFonts w:cstheme="minorHAnsi"/>
        </w:rPr>
      </w:pPr>
      <w:r>
        <w:rPr>
          <w:rFonts w:cstheme="minorHAnsi"/>
        </w:rPr>
        <w:t xml:space="preserve">Article 23 </w:t>
      </w:r>
      <w:r>
        <w:rPr>
          <w:rFonts w:cstheme="minorHAnsi"/>
        </w:rPr>
        <w:tab/>
        <w:t>Financial year</w:t>
      </w:r>
    </w:p>
    <w:p w14:paraId="1A4B5757" w14:textId="77777777" w:rsidR="00EC45B1" w:rsidRDefault="00000000">
      <w:pPr>
        <w:widowControl w:val="0"/>
        <w:tabs>
          <w:tab w:val="left" w:pos="284"/>
        </w:tabs>
        <w:ind w:right="20"/>
        <w:contextualSpacing/>
        <w:rPr>
          <w:rFonts w:cstheme="minorHAnsi"/>
          <w:lang w:val="en-GB"/>
        </w:rPr>
      </w:pPr>
      <w:r>
        <w:rPr>
          <w:rFonts w:cstheme="minorHAnsi"/>
          <w:lang w:val="en-GB"/>
        </w:rPr>
        <w:t>The Company's financial year begins on the first of January of each year and ends on the thirty-first of December of the same year.</w:t>
      </w:r>
    </w:p>
    <w:p w14:paraId="576271EE" w14:textId="77777777" w:rsidR="00EC45B1" w:rsidRDefault="00000000">
      <w:pPr>
        <w:pStyle w:val="AoALevel2Article1"/>
        <w:keepNext w:val="0"/>
        <w:widowControl w:val="0"/>
        <w:numPr>
          <w:ilvl w:val="0"/>
          <w:numId w:val="0"/>
        </w:numPr>
        <w:tabs>
          <w:tab w:val="clear" w:pos="1418"/>
          <w:tab w:val="left" w:pos="1134"/>
        </w:tabs>
        <w:spacing w:before="120" w:after="0"/>
        <w:contextualSpacing/>
        <w:rPr>
          <w:rFonts w:cstheme="minorHAnsi"/>
        </w:rPr>
      </w:pPr>
      <w:r>
        <w:rPr>
          <w:rFonts w:cstheme="minorHAnsi"/>
        </w:rPr>
        <w:t xml:space="preserve">Article 24 </w:t>
      </w:r>
      <w:r>
        <w:rPr>
          <w:rFonts w:cstheme="minorHAnsi"/>
        </w:rPr>
        <w:tab/>
        <w:t>Annual accounts - Allocation of profits - Reserves</w:t>
      </w:r>
    </w:p>
    <w:p w14:paraId="76B9A2AE"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24.1</w:t>
      </w:r>
      <w:r>
        <w:rPr>
          <w:rFonts w:cstheme="minorHAnsi"/>
        </w:rPr>
        <w:tab/>
        <w:t>At the end of each financial year, the accounts are closed and the board of managers draws up an inventory of the Company's assets and liabilities, the balance sheet and the profit and loss account, in accordance with the law.</w:t>
      </w:r>
    </w:p>
    <w:p w14:paraId="4AA2EAA4"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24.2</w:t>
      </w:r>
      <w:r>
        <w:rPr>
          <w:rFonts w:cstheme="minorHAnsi"/>
        </w:rPr>
        <w:tab/>
        <w:t xml:space="preserve">Of the Company's net annual profits, at least five percent (5%) will be allocated to the legal reserve. </w:t>
      </w:r>
      <w:r>
        <w:rPr>
          <w:rFonts w:cstheme="minorHAnsi"/>
        </w:rPr>
        <w:lastRenderedPageBreak/>
        <w:t xml:space="preserve">This allocation will cease to be mandatory as soon as and </w:t>
      </w:r>
      <w:proofErr w:type="gramStart"/>
      <w:r>
        <w:rPr>
          <w:rFonts w:cstheme="minorHAnsi"/>
        </w:rPr>
        <w:t>as long as</w:t>
      </w:r>
      <w:proofErr w:type="gramEnd"/>
      <w:r>
        <w:rPr>
          <w:rFonts w:cstheme="minorHAnsi"/>
        </w:rPr>
        <w:t xml:space="preserve"> the total amount of the Company's legal reserve reaches ten percent (10%) of the Company's share capital.</w:t>
      </w:r>
    </w:p>
    <w:p w14:paraId="6710721D"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24.3</w:t>
      </w:r>
      <w:r>
        <w:rPr>
          <w:rFonts w:cstheme="minorHAnsi"/>
        </w:rPr>
        <w:tab/>
        <w:t xml:space="preserve">The sums contributed to a reserve of the Company by a partner may also be allocated to the legal reserve, if the partner approves this allocation. </w:t>
      </w:r>
    </w:p>
    <w:p w14:paraId="7CF6A8E2"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24.4</w:t>
      </w:r>
      <w:r>
        <w:rPr>
          <w:rFonts w:cstheme="minorHAnsi"/>
        </w:rPr>
        <w:tab/>
        <w:t>In the event of a reduction in the share capital, the Company's legal reserve may be reduced in proportion so that it does not exceed ten percent (10%) of the share capital.</w:t>
      </w:r>
    </w:p>
    <w:p w14:paraId="1DB9EAF4"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24.5</w:t>
      </w:r>
      <w:r>
        <w:rPr>
          <w:rFonts w:cstheme="minorHAnsi"/>
        </w:rPr>
        <w:tab/>
        <w:t>On the proposal of the board of managers, the general meeting decides on the allocation of the balance of the Company's available profits in accordance with the Law and these articles.</w:t>
      </w:r>
    </w:p>
    <w:p w14:paraId="00774812"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24.6</w:t>
      </w:r>
      <w:r>
        <w:rPr>
          <w:rFonts w:cstheme="minorHAnsi"/>
        </w:rPr>
        <w:tab/>
        <w:t>Unless otherwise agreed in writing, distributions to partners are made in proportion to the number of shares they hold in the Company.</w:t>
      </w:r>
    </w:p>
    <w:p w14:paraId="7B147B34" w14:textId="77777777" w:rsidR="00EC45B1" w:rsidRDefault="00000000">
      <w:pPr>
        <w:pStyle w:val="AoALevel2Article1"/>
        <w:keepNext w:val="0"/>
        <w:widowControl w:val="0"/>
        <w:numPr>
          <w:ilvl w:val="0"/>
          <w:numId w:val="0"/>
        </w:numPr>
        <w:tabs>
          <w:tab w:val="clear" w:pos="1418"/>
          <w:tab w:val="left" w:pos="1134"/>
        </w:tabs>
        <w:spacing w:before="120" w:after="0"/>
        <w:contextualSpacing/>
        <w:rPr>
          <w:rFonts w:cstheme="minorHAnsi"/>
        </w:rPr>
      </w:pPr>
      <w:r>
        <w:rPr>
          <w:rFonts w:cstheme="minorHAnsi"/>
        </w:rPr>
        <w:t xml:space="preserve">Article 25 </w:t>
      </w:r>
      <w:r>
        <w:rPr>
          <w:rFonts w:cstheme="minorHAnsi"/>
        </w:rPr>
        <w:tab/>
        <w:t>Dividends - Issue premium and similar premiums</w:t>
      </w:r>
    </w:p>
    <w:p w14:paraId="5BC78196" w14:textId="77777777" w:rsidR="00EC45B1" w:rsidRDefault="00000000">
      <w:pPr>
        <w:widowControl w:val="0"/>
        <w:tabs>
          <w:tab w:val="left" w:pos="1134"/>
        </w:tabs>
        <w:contextualSpacing/>
        <w:jc w:val="both"/>
        <w:rPr>
          <w:rFonts w:cstheme="minorHAnsi"/>
          <w:i/>
          <w:iCs/>
          <w:highlight w:val="cyan"/>
          <w:lang w:val="en-GB"/>
        </w:rPr>
      </w:pPr>
      <w:r>
        <w:rPr>
          <w:rFonts w:cstheme="minorHAnsi"/>
          <w:i/>
          <w:iCs/>
          <w:highlight w:val="cyan"/>
          <w:lang w:val="en-GB"/>
        </w:rPr>
        <w:t>Standard provisions:</w:t>
      </w:r>
    </w:p>
    <w:p w14:paraId="0FC33B13"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25.1</w:t>
      </w:r>
      <w:r>
        <w:rPr>
          <w:rFonts w:cstheme="minorHAnsi"/>
        </w:rPr>
        <w:tab/>
        <w:t>The board of managers may proceed to the payment of interim dividends in accordance with the provisions of the Law.</w:t>
      </w:r>
    </w:p>
    <w:p w14:paraId="4FBE0ABD"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25.2</w:t>
      </w:r>
      <w:r>
        <w:rPr>
          <w:rFonts w:cstheme="minorHAnsi"/>
        </w:rPr>
        <w:tab/>
        <w:t xml:space="preserve">The Company may set up an issue premium account to which any paid issue premium will be transferred. </w:t>
      </w:r>
      <w:proofErr w:type="gramStart"/>
      <w:r>
        <w:rPr>
          <w:rFonts w:cstheme="minorHAnsi"/>
        </w:rPr>
        <w:t>Any issue premium,</w:t>
      </w:r>
      <w:proofErr w:type="gramEnd"/>
      <w:r>
        <w:rPr>
          <w:rFonts w:cstheme="minorHAnsi"/>
        </w:rPr>
        <w:t xml:space="preserve"> assimilated premium or distributable reserve may be freely distributed to the partners in accordance with the provisions of the law and these articles. The partner(s) may also decide to increase the Company's reserves by equity contributions in cash or in kind not remunerated by shares, account 115 of the Luxembourg standardized chart of accounts.</w:t>
      </w:r>
    </w:p>
    <w:p w14:paraId="48AECF66" w14:textId="77777777" w:rsidR="00EC45B1" w:rsidRDefault="00EC45B1">
      <w:pPr>
        <w:pStyle w:val="AoALevel3Article11"/>
        <w:widowControl w:val="0"/>
        <w:numPr>
          <w:ilvl w:val="0"/>
          <w:numId w:val="0"/>
        </w:numPr>
        <w:spacing w:after="0"/>
        <w:contextualSpacing/>
        <w:rPr>
          <w:rFonts w:cstheme="minorHAnsi"/>
        </w:rPr>
      </w:pPr>
    </w:p>
    <w:p w14:paraId="7557549E" w14:textId="77777777" w:rsidR="00EC45B1" w:rsidRDefault="00000000">
      <w:pPr>
        <w:widowControl w:val="0"/>
        <w:tabs>
          <w:tab w:val="left" w:pos="1134"/>
        </w:tabs>
        <w:contextualSpacing/>
        <w:jc w:val="both"/>
        <w:rPr>
          <w:rFonts w:cstheme="minorHAnsi"/>
          <w:i/>
          <w:iCs/>
          <w:highlight w:val="cyan"/>
          <w:lang w:val="en-GB"/>
        </w:rPr>
      </w:pPr>
      <w:r>
        <w:rPr>
          <w:rFonts w:cstheme="minorHAnsi"/>
          <w:i/>
          <w:iCs/>
          <w:highlight w:val="cyan"/>
          <w:lang w:val="en-GB"/>
        </w:rPr>
        <w:t>Example of provisions if share capital with classes of shares:</w:t>
      </w:r>
    </w:p>
    <w:p w14:paraId="32562610" w14:textId="77777777" w:rsidR="00EC45B1" w:rsidRPr="007F5ECF"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25.1</w:t>
      </w:r>
      <w:r>
        <w:rPr>
          <w:rFonts w:cstheme="minorHAnsi"/>
        </w:rPr>
        <w:tab/>
      </w:r>
      <w:r w:rsidRPr="007F5ECF">
        <w:rPr>
          <w:rFonts w:cstheme="minorHAnsi"/>
          <w:highlight w:val="cyan"/>
        </w:rPr>
        <w:t>[</w:t>
      </w:r>
      <w:r w:rsidRPr="007F5ECF">
        <w:rPr>
          <w:rFonts w:cstheme="minorHAnsi"/>
        </w:rPr>
        <w:t>If, in a given financial year, the general meeting of Partners decides to distribute dividends, out of the net profits or available reserves resulting from amounts put into reserves, the amount allocated will be distributed according to the following priority:</w:t>
      </w:r>
    </w:p>
    <w:p w14:paraId="2DFF069C" w14:textId="77777777" w:rsidR="00EC45B1" w:rsidRPr="007F5ECF" w:rsidRDefault="00000000" w:rsidP="007F5ECF">
      <w:pPr>
        <w:widowControl w:val="0"/>
        <w:tabs>
          <w:tab w:val="left" w:pos="810"/>
        </w:tabs>
        <w:ind w:left="900" w:right="20" w:hanging="333"/>
        <w:contextualSpacing/>
        <w:jc w:val="both"/>
        <w:rPr>
          <w:rFonts w:cstheme="minorHAnsi"/>
          <w:sz w:val="22"/>
          <w:szCs w:val="22"/>
          <w:lang w:val="en-GB"/>
        </w:rPr>
      </w:pPr>
      <w:r w:rsidRPr="007F5ECF">
        <w:rPr>
          <w:rFonts w:cstheme="minorHAnsi"/>
          <w:sz w:val="22"/>
          <w:szCs w:val="22"/>
          <w:lang w:val="en-GB"/>
        </w:rPr>
        <w:t>-</w:t>
      </w:r>
      <w:r w:rsidRPr="007F5ECF">
        <w:rPr>
          <w:rFonts w:cstheme="minorHAnsi"/>
          <w:sz w:val="22"/>
          <w:szCs w:val="22"/>
          <w:lang w:val="en-GB"/>
        </w:rPr>
        <w:tab/>
        <w:t xml:space="preserve">First, Class A </w:t>
      </w:r>
      <w:r w:rsidRPr="007F5ECF">
        <w:rPr>
          <w:rFonts w:cstheme="minorHAnsi"/>
          <w:sz w:val="22"/>
          <w:szCs w:val="22"/>
        </w:rPr>
        <w:t>Partner</w:t>
      </w:r>
      <w:r w:rsidRPr="007F5ECF">
        <w:rPr>
          <w:rFonts w:cstheme="minorHAnsi"/>
          <w:sz w:val="22"/>
          <w:szCs w:val="22"/>
          <w:lang w:val="en-GB"/>
        </w:rPr>
        <w:t>s are entitled to receive a preferred dividend distribution for the relevant financial year, for an amount of nine percent (9%) of the nominal value of Class A Shares they hold. The preferred dividend of Class A Shares rank senior to the preferred dividend of all other Classes of Shares; then</w:t>
      </w:r>
    </w:p>
    <w:p w14:paraId="2BAD5D7F" w14:textId="77777777" w:rsidR="00EC45B1" w:rsidRPr="007F5ECF" w:rsidRDefault="00000000" w:rsidP="007F5ECF">
      <w:pPr>
        <w:widowControl w:val="0"/>
        <w:tabs>
          <w:tab w:val="left" w:pos="810"/>
        </w:tabs>
        <w:ind w:left="900" w:right="20" w:hanging="333"/>
        <w:contextualSpacing/>
        <w:jc w:val="both"/>
        <w:rPr>
          <w:rFonts w:cstheme="minorHAnsi"/>
          <w:sz w:val="22"/>
          <w:szCs w:val="22"/>
          <w:lang w:val="en-GB"/>
        </w:rPr>
      </w:pPr>
      <w:r w:rsidRPr="007F5ECF">
        <w:rPr>
          <w:rFonts w:cstheme="minorHAnsi"/>
          <w:sz w:val="22"/>
          <w:szCs w:val="22"/>
          <w:lang w:val="en-GB"/>
        </w:rPr>
        <w:t>-</w:t>
      </w:r>
      <w:r w:rsidRPr="007F5ECF">
        <w:rPr>
          <w:rFonts w:cstheme="minorHAnsi"/>
          <w:sz w:val="22"/>
          <w:szCs w:val="22"/>
          <w:lang w:val="en-GB"/>
        </w:rPr>
        <w:tab/>
        <w:t xml:space="preserve">Class B </w:t>
      </w:r>
      <w:r w:rsidRPr="007F5ECF">
        <w:rPr>
          <w:rFonts w:cstheme="minorHAnsi"/>
          <w:sz w:val="22"/>
          <w:szCs w:val="22"/>
        </w:rPr>
        <w:t>Partner</w:t>
      </w:r>
      <w:r w:rsidRPr="007F5ECF">
        <w:rPr>
          <w:rFonts w:cstheme="minorHAnsi"/>
          <w:sz w:val="22"/>
          <w:szCs w:val="22"/>
          <w:lang w:val="en-GB"/>
        </w:rPr>
        <w:t>s are entitled to receive a preferred dividend distribution for the relevant financial year, for an amount of eight percent (8%) of the nominal value of Class B Shares they hold. The preferred dividend of Class B Shares rank junior to the preferred dividend of Class A Shares and senior to the preferred dividend of Class C Shares, Class D Shares, Class E Shares, Class F Shares, Class G Shares, Class H Shares, Class I Shares and Class J Shares; then</w:t>
      </w:r>
    </w:p>
    <w:p w14:paraId="34E8AE46" w14:textId="77777777" w:rsidR="00EC45B1" w:rsidRPr="007F5ECF" w:rsidRDefault="00000000" w:rsidP="007F5ECF">
      <w:pPr>
        <w:widowControl w:val="0"/>
        <w:tabs>
          <w:tab w:val="left" w:pos="810"/>
        </w:tabs>
        <w:ind w:left="900" w:right="20" w:hanging="333"/>
        <w:contextualSpacing/>
        <w:jc w:val="both"/>
        <w:rPr>
          <w:rFonts w:cstheme="minorHAnsi"/>
          <w:sz w:val="22"/>
          <w:szCs w:val="22"/>
          <w:lang w:val="en-GB"/>
        </w:rPr>
      </w:pPr>
      <w:r w:rsidRPr="007F5ECF">
        <w:rPr>
          <w:rFonts w:cstheme="minorHAnsi"/>
          <w:sz w:val="22"/>
          <w:szCs w:val="22"/>
          <w:lang w:val="en-GB"/>
        </w:rPr>
        <w:t>-</w:t>
      </w:r>
      <w:r w:rsidRPr="007F5ECF">
        <w:rPr>
          <w:rFonts w:cstheme="minorHAnsi"/>
          <w:sz w:val="22"/>
          <w:szCs w:val="22"/>
          <w:lang w:val="en-GB"/>
        </w:rPr>
        <w:tab/>
        <w:t xml:space="preserve">Class C </w:t>
      </w:r>
      <w:r w:rsidRPr="007F5ECF">
        <w:rPr>
          <w:rFonts w:cstheme="minorHAnsi"/>
          <w:sz w:val="22"/>
          <w:szCs w:val="22"/>
        </w:rPr>
        <w:t>Partner</w:t>
      </w:r>
      <w:r w:rsidRPr="007F5ECF">
        <w:rPr>
          <w:rFonts w:cstheme="minorHAnsi"/>
          <w:sz w:val="22"/>
          <w:szCs w:val="22"/>
          <w:lang w:val="en-GB"/>
        </w:rPr>
        <w:t xml:space="preserve">s are entitled to receive a preferred dividend distribution for the relevant financial year, for an amount of seven percent (7%) of the nominal value of Class C Shares they hold. The preferred dividend of Class C Shares rank junior to the preferred dividend of Class A Shares and Class B Shares and senior to the preferred dividend of Class D Shares, Class E Shares, Class F Shares, Class G Shares, Class H Shares, Class I Shares and Class J Shares; then </w:t>
      </w:r>
    </w:p>
    <w:p w14:paraId="5D7284CD" w14:textId="77777777" w:rsidR="00EC45B1" w:rsidRPr="007F5ECF" w:rsidRDefault="00000000" w:rsidP="007F5ECF">
      <w:pPr>
        <w:widowControl w:val="0"/>
        <w:tabs>
          <w:tab w:val="left" w:pos="810"/>
        </w:tabs>
        <w:ind w:left="900" w:right="20" w:hanging="333"/>
        <w:contextualSpacing/>
        <w:jc w:val="both"/>
        <w:rPr>
          <w:rFonts w:cstheme="minorHAnsi"/>
          <w:sz w:val="22"/>
          <w:szCs w:val="22"/>
          <w:lang w:val="en-GB"/>
        </w:rPr>
      </w:pPr>
      <w:r w:rsidRPr="007F5ECF">
        <w:rPr>
          <w:rFonts w:cstheme="minorHAnsi"/>
          <w:sz w:val="22"/>
          <w:szCs w:val="22"/>
          <w:lang w:val="en-GB"/>
        </w:rPr>
        <w:t>-</w:t>
      </w:r>
      <w:r w:rsidRPr="007F5ECF">
        <w:rPr>
          <w:rFonts w:cstheme="minorHAnsi"/>
          <w:sz w:val="22"/>
          <w:szCs w:val="22"/>
          <w:lang w:val="en-GB"/>
        </w:rPr>
        <w:tab/>
        <w:t xml:space="preserve">Class D </w:t>
      </w:r>
      <w:r w:rsidRPr="007F5ECF">
        <w:rPr>
          <w:rFonts w:cstheme="minorHAnsi"/>
          <w:sz w:val="22"/>
          <w:szCs w:val="22"/>
        </w:rPr>
        <w:t>Partner</w:t>
      </w:r>
      <w:r w:rsidRPr="007F5ECF">
        <w:rPr>
          <w:rFonts w:cstheme="minorHAnsi"/>
          <w:sz w:val="22"/>
          <w:szCs w:val="22"/>
          <w:lang w:val="en-GB"/>
        </w:rPr>
        <w:t xml:space="preserve">s are entitled to receive a preferred dividend distribution for the relevant financial year, for an amount of six percent (6%) of the nominal value of Class D Shares they hold. The preferred dividend of Class D Shares rank junior to the preferred dividend of Class A Shares, Class B Shares and Class C Shares and senior to the preferred dividend of Class E Shares, Class F Shares, Class G Shares, Class H Shares, Class I Shares and Class J Shares; then </w:t>
      </w:r>
    </w:p>
    <w:p w14:paraId="0D5D905B" w14:textId="77777777" w:rsidR="00EC45B1" w:rsidRPr="007F5ECF" w:rsidRDefault="00000000" w:rsidP="007F5ECF">
      <w:pPr>
        <w:widowControl w:val="0"/>
        <w:tabs>
          <w:tab w:val="left" w:pos="810"/>
        </w:tabs>
        <w:ind w:left="900" w:right="20" w:hanging="333"/>
        <w:contextualSpacing/>
        <w:jc w:val="both"/>
        <w:rPr>
          <w:rFonts w:cstheme="minorHAnsi"/>
          <w:sz w:val="22"/>
          <w:szCs w:val="22"/>
          <w:lang w:val="en-GB"/>
        </w:rPr>
      </w:pPr>
      <w:r w:rsidRPr="007F5ECF">
        <w:rPr>
          <w:rFonts w:cstheme="minorHAnsi"/>
          <w:sz w:val="22"/>
          <w:szCs w:val="22"/>
          <w:lang w:val="en-GB"/>
        </w:rPr>
        <w:t>-</w:t>
      </w:r>
      <w:r w:rsidRPr="007F5ECF">
        <w:rPr>
          <w:rFonts w:cstheme="minorHAnsi"/>
          <w:sz w:val="22"/>
          <w:szCs w:val="22"/>
          <w:lang w:val="en-GB"/>
        </w:rPr>
        <w:tab/>
        <w:t xml:space="preserve">Class E </w:t>
      </w:r>
      <w:r w:rsidRPr="007F5ECF">
        <w:rPr>
          <w:rFonts w:cstheme="minorHAnsi"/>
          <w:sz w:val="22"/>
          <w:szCs w:val="22"/>
        </w:rPr>
        <w:t>Partner</w:t>
      </w:r>
      <w:r w:rsidRPr="007F5ECF">
        <w:rPr>
          <w:rFonts w:cstheme="minorHAnsi"/>
          <w:sz w:val="22"/>
          <w:szCs w:val="22"/>
          <w:lang w:val="en-GB"/>
        </w:rPr>
        <w:t>s are entitled to receive a preferred dividend distribution for the relevant financial year, for an amount of five percent (5%) of the nominal value of Class E Shares they hold. The preferred dividend of Class E Shares rank junior to the preferred dividend of Class A Shares, Class B Shares, Class C Shares and Class D Shares and senior to the preferred dividend of Class F Shares, Class G Shares, Class H Shares, Class I Shares and Class J Shares; then</w:t>
      </w:r>
    </w:p>
    <w:p w14:paraId="5977AB67" w14:textId="77777777" w:rsidR="00EC45B1" w:rsidRPr="007F5ECF" w:rsidRDefault="00000000" w:rsidP="007F5ECF">
      <w:pPr>
        <w:widowControl w:val="0"/>
        <w:tabs>
          <w:tab w:val="left" w:pos="810"/>
        </w:tabs>
        <w:ind w:left="900" w:right="20" w:hanging="191"/>
        <w:contextualSpacing/>
        <w:jc w:val="both"/>
        <w:rPr>
          <w:rFonts w:cstheme="minorHAnsi"/>
          <w:sz w:val="22"/>
          <w:szCs w:val="22"/>
          <w:lang w:val="en-GB"/>
        </w:rPr>
      </w:pPr>
      <w:r w:rsidRPr="007F5ECF">
        <w:rPr>
          <w:rFonts w:cstheme="minorHAnsi"/>
          <w:sz w:val="22"/>
          <w:szCs w:val="22"/>
          <w:lang w:val="en-GB"/>
        </w:rPr>
        <w:t>-</w:t>
      </w:r>
      <w:r w:rsidRPr="007F5ECF">
        <w:rPr>
          <w:rFonts w:cstheme="minorHAnsi"/>
          <w:sz w:val="22"/>
          <w:szCs w:val="22"/>
          <w:lang w:val="en-GB"/>
        </w:rPr>
        <w:tab/>
        <w:t xml:space="preserve">Class F </w:t>
      </w:r>
      <w:r w:rsidRPr="007F5ECF">
        <w:rPr>
          <w:rFonts w:cstheme="minorHAnsi"/>
          <w:sz w:val="22"/>
          <w:szCs w:val="22"/>
        </w:rPr>
        <w:t>Partner</w:t>
      </w:r>
      <w:r w:rsidRPr="007F5ECF">
        <w:rPr>
          <w:rFonts w:cstheme="minorHAnsi"/>
          <w:sz w:val="22"/>
          <w:szCs w:val="22"/>
          <w:lang w:val="en-GB"/>
        </w:rPr>
        <w:t xml:space="preserve">s are entitled to receive a preferred dividend distribution for the relevant financial year, for an amount of four percent (4%) of the nominal value of Class F Shares they hold. The preferred dividend of Class F Shares rank junior to the preferred dividend of Class A Shares, Class B Shares, Class C Shares, Class D Shares and Class E Shares and senior to the preferred dividend </w:t>
      </w:r>
      <w:r w:rsidRPr="007F5ECF">
        <w:rPr>
          <w:rFonts w:cstheme="minorHAnsi"/>
          <w:sz w:val="22"/>
          <w:szCs w:val="22"/>
          <w:lang w:val="en-GB"/>
        </w:rPr>
        <w:lastRenderedPageBreak/>
        <w:t>of Class G Shares, Class H Shares, Class I Shares and Class J Shares; then</w:t>
      </w:r>
    </w:p>
    <w:p w14:paraId="5EF77F09" w14:textId="77777777" w:rsidR="00EC45B1" w:rsidRPr="007F5ECF" w:rsidRDefault="00000000" w:rsidP="007F5ECF">
      <w:pPr>
        <w:widowControl w:val="0"/>
        <w:tabs>
          <w:tab w:val="left" w:pos="810"/>
        </w:tabs>
        <w:ind w:left="900" w:right="20" w:hanging="191"/>
        <w:contextualSpacing/>
        <w:jc w:val="both"/>
        <w:rPr>
          <w:rFonts w:cstheme="minorHAnsi"/>
          <w:sz w:val="22"/>
          <w:szCs w:val="22"/>
          <w:lang w:val="en-GB"/>
        </w:rPr>
      </w:pPr>
      <w:r w:rsidRPr="007F5ECF">
        <w:rPr>
          <w:rFonts w:cstheme="minorHAnsi"/>
          <w:sz w:val="22"/>
          <w:szCs w:val="22"/>
          <w:lang w:val="en-GB"/>
        </w:rPr>
        <w:t>-</w:t>
      </w:r>
      <w:r w:rsidRPr="007F5ECF">
        <w:rPr>
          <w:rFonts w:cstheme="minorHAnsi"/>
          <w:sz w:val="22"/>
          <w:szCs w:val="22"/>
          <w:lang w:val="en-GB"/>
        </w:rPr>
        <w:tab/>
        <w:t xml:space="preserve">Class G </w:t>
      </w:r>
      <w:r w:rsidRPr="007F5ECF">
        <w:rPr>
          <w:rFonts w:cstheme="minorHAnsi"/>
          <w:sz w:val="22"/>
          <w:szCs w:val="22"/>
        </w:rPr>
        <w:t>Partner</w:t>
      </w:r>
      <w:r w:rsidRPr="007F5ECF">
        <w:rPr>
          <w:rFonts w:cstheme="minorHAnsi"/>
          <w:sz w:val="22"/>
          <w:szCs w:val="22"/>
          <w:lang w:val="en-GB"/>
        </w:rPr>
        <w:t xml:space="preserve">s are entitled to receive a preferred dividend distribution for the relevant financial year, for an amount of three percent (3%) of the nominal value of Class G Shares they hold. The preferred dividend of Class G Shares rank junior to the preferred dividend of Class A Shares, Class B Shares, Class C Shares, Class D Shares, Class E Shares and Class F Shares and senior to the preferred dividend of Class H Shares, Class I Shares and Class J Shares; then </w:t>
      </w:r>
    </w:p>
    <w:p w14:paraId="57D15655" w14:textId="77777777" w:rsidR="00EC45B1" w:rsidRPr="007F5ECF" w:rsidRDefault="00000000" w:rsidP="007F5ECF">
      <w:pPr>
        <w:widowControl w:val="0"/>
        <w:tabs>
          <w:tab w:val="left" w:pos="810"/>
        </w:tabs>
        <w:ind w:left="900" w:right="20" w:hanging="191"/>
        <w:contextualSpacing/>
        <w:jc w:val="both"/>
        <w:rPr>
          <w:rFonts w:cstheme="minorHAnsi"/>
          <w:sz w:val="22"/>
          <w:szCs w:val="22"/>
          <w:lang w:val="en-GB"/>
        </w:rPr>
      </w:pPr>
      <w:r w:rsidRPr="007F5ECF">
        <w:rPr>
          <w:rFonts w:cstheme="minorHAnsi"/>
          <w:sz w:val="22"/>
          <w:szCs w:val="22"/>
          <w:lang w:val="en-GB"/>
        </w:rPr>
        <w:t>-</w:t>
      </w:r>
      <w:r w:rsidRPr="007F5ECF">
        <w:rPr>
          <w:rFonts w:cstheme="minorHAnsi"/>
          <w:sz w:val="22"/>
          <w:szCs w:val="22"/>
          <w:lang w:val="en-GB"/>
        </w:rPr>
        <w:tab/>
        <w:t xml:space="preserve">Class H </w:t>
      </w:r>
      <w:r w:rsidRPr="007F5ECF">
        <w:rPr>
          <w:rFonts w:cstheme="minorHAnsi"/>
          <w:sz w:val="22"/>
          <w:szCs w:val="22"/>
        </w:rPr>
        <w:t>Partner</w:t>
      </w:r>
      <w:r w:rsidRPr="007F5ECF">
        <w:rPr>
          <w:rFonts w:cstheme="minorHAnsi"/>
          <w:sz w:val="22"/>
          <w:szCs w:val="22"/>
          <w:lang w:val="en-GB"/>
        </w:rPr>
        <w:t>s are entitled to receive a preferred dividend distribution for the relevant financial year, for an amount of two percent (2%) of the nominal value of Class H Shares they hold. The preferred dividend of Class H Shares rank junior to the preferred dividend of Class A Shares, Class B Shares, Class C Shares, Class D Shares, Class E Shares, Class F Shares and Class G Shares and senior to the preferred dividend of Class I Shares and Class J Shares; then</w:t>
      </w:r>
    </w:p>
    <w:p w14:paraId="14E9E175" w14:textId="77777777" w:rsidR="00EC45B1" w:rsidRPr="007F5ECF" w:rsidRDefault="00000000" w:rsidP="007F5ECF">
      <w:pPr>
        <w:widowControl w:val="0"/>
        <w:tabs>
          <w:tab w:val="left" w:pos="810"/>
        </w:tabs>
        <w:ind w:left="900" w:right="20" w:hanging="191"/>
        <w:contextualSpacing/>
        <w:jc w:val="both"/>
        <w:rPr>
          <w:rFonts w:cstheme="minorHAnsi"/>
          <w:sz w:val="22"/>
          <w:szCs w:val="22"/>
          <w:lang w:val="en-GB"/>
        </w:rPr>
      </w:pPr>
      <w:r w:rsidRPr="007F5ECF">
        <w:rPr>
          <w:rFonts w:cstheme="minorHAnsi"/>
          <w:sz w:val="22"/>
          <w:szCs w:val="22"/>
          <w:lang w:val="en-GB"/>
        </w:rPr>
        <w:t>-</w:t>
      </w:r>
      <w:r w:rsidRPr="007F5ECF">
        <w:rPr>
          <w:rFonts w:cstheme="minorHAnsi"/>
          <w:sz w:val="22"/>
          <w:szCs w:val="22"/>
          <w:lang w:val="en-GB"/>
        </w:rPr>
        <w:tab/>
        <w:t xml:space="preserve">Class I </w:t>
      </w:r>
      <w:r w:rsidRPr="007F5ECF">
        <w:rPr>
          <w:rFonts w:cstheme="minorHAnsi"/>
          <w:sz w:val="22"/>
          <w:szCs w:val="22"/>
        </w:rPr>
        <w:t>Partner</w:t>
      </w:r>
      <w:r w:rsidRPr="007F5ECF">
        <w:rPr>
          <w:rFonts w:cstheme="minorHAnsi"/>
          <w:sz w:val="22"/>
          <w:szCs w:val="22"/>
          <w:lang w:val="en-GB"/>
        </w:rPr>
        <w:t>s are entitled to receive a preferred dividend distribution for the relevant financial year, for an amount of one percent (1%) of the nominal value of Class I Shares they hold. The preferred dividend of Class I Shares rank junior to the preferred dividend of Class A Shares, Class B Shares, Class C Shares, Class D Shares, Class E Shares, Class F Shares, Class G Shares and Class H Shares and Senior to the preferred dividend of Class J Shares.</w:t>
      </w:r>
    </w:p>
    <w:p w14:paraId="6B7B1287" w14:textId="77777777" w:rsidR="00EC45B1" w:rsidRPr="007F5ECF" w:rsidRDefault="00EC45B1">
      <w:pPr>
        <w:pStyle w:val="AoALevel3Article11"/>
        <w:widowControl w:val="0"/>
        <w:numPr>
          <w:ilvl w:val="0"/>
          <w:numId w:val="0"/>
        </w:numPr>
        <w:spacing w:after="0"/>
        <w:ind w:left="540"/>
        <w:contextualSpacing/>
        <w:rPr>
          <w:rFonts w:cstheme="minorHAnsi"/>
        </w:rPr>
      </w:pPr>
    </w:p>
    <w:p w14:paraId="6B82BAC1" w14:textId="77777777" w:rsidR="00EC45B1" w:rsidRDefault="00000000">
      <w:pPr>
        <w:pStyle w:val="AoALevel3Article11"/>
        <w:widowControl w:val="0"/>
        <w:numPr>
          <w:ilvl w:val="0"/>
          <w:numId w:val="0"/>
        </w:numPr>
        <w:spacing w:after="0"/>
        <w:ind w:left="540"/>
        <w:contextualSpacing/>
        <w:rPr>
          <w:rFonts w:cstheme="minorHAnsi"/>
        </w:rPr>
      </w:pPr>
      <w:r>
        <w:rPr>
          <w:rFonts w:cstheme="minorHAnsi"/>
        </w:rPr>
        <w:t>The balance of the distributed amount will be allocated in full to holders of the first class in the reverse alphabetical order (first Share of Class J, and if no Share of Class J exist Share of Class I and so on). Where a class of Shares becomes the first class in the reverse alphabetical order, its entitlement to dividend distribution will be equal and limited to the balance of the distributed amount and in terms of ranking its dividend entitlement will rank junior to the preferred dividend of the other classes of Shares.</w:t>
      </w:r>
    </w:p>
    <w:p w14:paraId="114365BE"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25.2</w:t>
      </w:r>
      <w:r>
        <w:rPr>
          <w:rFonts w:cstheme="minorHAnsi"/>
        </w:rPr>
        <w:tab/>
        <w:t>Interim dividends can be paid on the same basis and according to the same order of priority as set out in this article, subject to the applicable legal provisions (including article 710-25 of the Company Law) and a resolution of the board of managers.</w:t>
      </w:r>
      <w:r>
        <w:rPr>
          <w:rFonts w:cstheme="minorHAnsi"/>
          <w:highlight w:val="cyan"/>
        </w:rPr>
        <w:t>]</w:t>
      </w:r>
    </w:p>
    <w:p w14:paraId="61A2E597" w14:textId="77777777" w:rsidR="00EC45B1" w:rsidRDefault="00000000">
      <w:pPr>
        <w:pStyle w:val="AoALevel1ABC"/>
        <w:keepNext w:val="0"/>
        <w:widowControl w:val="0"/>
        <w:numPr>
          <w:ilvl w:val="0"/>
          <w:numId w:val="59"/>
        </w:numPr>
        <w:pBdr>
          <w:bottom w:val="single" w:sz="6" w:space="4" w:color="1F4E5F"/>
        </w:pBdr>
        <w:tabs>
          <w:tab w:val="clear" w:pos="680"/>
          <w:tab w:val="left" w:pos="426"/>
        </w:tabs>
        <w:spacing w:before="360" w:after="240"/>
        <w:ind w:left="677" w:hanging="677"/>
        <w:contextualSpacing/>
        <w:rPr>
          <w:rStyle w:val="Heading20"/>
          <w:rFonts w:cstheme="minorHAnsi"/>
          <w:sz w:val="22"/>
          <w:szCs w:val="22"/>
          <w:lang w:val="en-GB"/>
        </w:rPr>
      </w:pPr>
      <w:r>
        <w:rPr>
          <w:rFonts w:cstheme="minorHAnsi"/>
          <w:lang w:val="en-GB"/>
        </w:rPr>
        <w:t>LIQUIDATION</w:t>
      </w:r>
    </w:p>
    <w:p w14:paraId="414EBB34" w14:textId="77777777" w:rsidR="00EC45B1" w:rsidRDefault="00000000">
      <w:pPr>
        <w:pStyle w:val="AoALevel2Article1"/>
        <w:keepNext w:val="0"/>
        <w:widowControl w:val="0"/>
        <w:numPr>
          <w:ilvl w:val="0"/>
          <w:numId w:val="0"/>
        </w:numPr>
        <w:spacing w:before="120" w:after="0"/>
        <w:contextualSpacing/>
        <w:rPr>
          <w:rFonts w:cstheme="minorHAnsi"/>
        </w:rPr>
      </w:pPr>
      <w:r>
        <w:rPr>
          <w:rFonts w:cstheme="minorHAnsi"/>
        </w:rPr>
        <w:t xml:space="preserve">Article 26 </w:t>
      </w:r>
      <w:r>
        <w:rPr>
          <w:rFonts w:cstheme="minorHAnsi"/>
        </w:rPr>
        <w:tab/>
        <w:t>Liquidation</w:t>
      </w:r>
    </w:p>
    <w:p w14:paraId="0470A292" w14:textId="23E8055B"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26.1</w:t>
      </w:r>
      <w:r>
        <w:rPr>
          <w:rFonts w:cstheme="minorHAnsi"/>
        </w:rPr>
        <w:tab/>
        <w:t xml:space="preserve">In the event of dissolution of the Company in accordance with article </w:t>
      </w:r>
      <w:r>
        <w:rPr>
          <w:rFonts w:cstheme="minorHAnsi"/>
          <w:shd w:val="clear" w:color="auto" w:fill="FFFF00"/>
        </w:rPr>
        <w:t>3.2</w:t>
      </w:r>
      <w:r>
        <w:rPr>
          <w:rFonts w:cstheme="minorHAnsi"/>
        </w:rPr>
        <w:t xml:space="preserve"> of these articles, the liquidation will be carried out by one or more liquidators appointed by the general meeting that decided on this dissolution and will fix the powers and emoluments of each of the liquidators. Unless otherwise provided, the liquidators will have the broadest powers for the realization of the assets and liabilities of the Company.</w:t>
      </w:r>
    </w:p>
    <w:p w14:paraId="701964FF" w14:textId="77777777" w:rsidR="00EC45B1"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26.2</w:t>
      </w:r>
      <w:r>
        <w:rPr>
          <w:rFonts w:cstheme="minorHAnsi"/>
        </w:rPr>
        <w:tab/>
        <w:t>The surplus resulting from the realization of the assets and liabilities will be distributed among the partners in proportion to their participation.</w:t>
      </w:r>
    </w:p>
    <w:p w14:paraId="1944800D" w14:textId="77777777" w:rsidR="00EC45B1" w:rsidRDefault="00000000">
      <w:pPr>
        <w:pStyle w:val="AoALevel1ABC"/>
        <w:keepNext w:val="0"/>
        <w:widowControl w:val="0"/>
        <w:numPr>
          <w:ilvl w:val="0"/>
          <w:numId w:val="60"/>
        </w:numPr>
        <w:pBdr>
          <w:bottom w:val="single" w:sz="6" w:space="4" w:color="1F4E5F"/>
        </w:pBdr>
        <w:tabs>
          <w:tab w:val="clear" w:pos="680"/>
          <w:tab w:val="left" w:pos="426"/>
        </w:tabs>
        <w:spacing w:before="360" w:after="0"/>
        <w:ind w:left="677" w:hanging="677"/>
        <w:contextualSpacing/>
        <w:rPr>
          <w:rStyle w:val="Heading20"/>
          <w:rFonts w:cstheme="minorHAnsi"/>
          <w:sz w:val="22"/>
          <w:szCs w:val="22"/>
        </w:rPr>
      </w:pPr>
      <w:r>
        <w:rPr>
          <w:rStyle w:val="Heading20"/>
          <w:rFonts w:cstheme="minorHAnsi"/>
          <w:sz w:val="22"/>
          <w:szCs w:val="22"/>
        </w:rPr>
        <w:t>DEFINITIONS (</w:t>
      </w:r>
      <w:r>
        <w:rPr>
          <w:rStyle w:val="Heading20"/>
          <w:rFonts w:cstheme="minorHAnsi"/>
          <w:i/>
          <w:iCs/>
          <w:caps w:val="0"/>
          <w:sz w:val="22"/>
          <w:szCs w:val="22"/>
          <w:highlight w:val="cyan"/>
        </w:rPr>
        <w:t>optional article - to be included if share capital with classes of shares</w:t>
      </w:r>
      <w:r>
        <w:rPr>
          <w:rStyle w:val="Heading20"/>
          <w:rFonts w:cstheme="minorHAnsi"/>
          <w:i/>
          <w:iCs/>
          <w:sz w:val="22"/>
          <w:szCs w:val="22"/>
        </w:rPr>
        <w:t>)</w:t>
      </w:r>
      <w:r>
        <w:rPr>
          <w:rStyle w:val="Heading20"/>
          <w:rFonts w:cstheme="minorHAnsi"/>
          <w:sz w:val="22"/>
          <w:szCs w:val="22"/>
        </w:rPr>
        <w:t xml:space="preserve"> </w:t>
      </w:r>
    </w:p>
    <w:p w14:paraId="73F13E79" w14:textId="77777777" w:rsidR="00EC45B1" w:rsidRDefault="00000000">
      <w:pPr>
        <w:pStyle w:val="AoALevel2Article1"/>
        <w:keepNext w:val="0"/>
        <w:widowControl w:val="0"/>
        <w:numPr>
          <w:ilvl w:val="0"/>
          <w:numId w:val="0"/>
        </w:numPr>
        <w:spacing w:before="120" w:after="0"/>
        <w:contextualSpacing/>
        <w:rPr>
          <w:rFonts w:cstheme="minorHAnsi"/>
        </w:rPr>
      </w:pPr>
      <w:r>
        <w:rPr>
          <w:rFonts w:cstheme="minorHAnsi"/>
        </w:rPr>
        <w:t xml:space="preserve">Article 27 </w:t>
      </w:r>
      <w:r>
        <w:rPr>
          <w:rFonts w:cstheme="minorHAnsi"/>
        </w:rPr>
        <w:tab/>
        <w:t>Definitions</w:t>
      </w:r>
    </w:p>
    <w:p w14:paraId="08F69A4D" w14:textId="77777777" w:rsidR="00EC45B1" w:rsidRDefault="00000000">
      <w:pPr>
        <w:pStyle w:val="AoALevel3Article11"/>
        <w:widowControl w:val="0"/>
        <w:numPr>
          <w:ilvl w:val="0"/>
          <w:numId w:val="0"/>
        </w:numPr>
        <w:spacing w:after="0"/>
        <w:ind w:left="540"/>
        <w:contextualSpacing/>
        <w:rPr>
          <w:rFonts w:cstheme="minorHAnsi"/>
        </w:rPr>
      </w:pPr>
      <w:r>
        <w:rPr>
          <w:rFonts w:cstheme="minorHAnsi"/>
          <w:b/>
          <w:bCs w:val="0"/>
        </w:rPr>
        <w:t>Available Amount</w:t>
      </w:r>
      <w:r>
        <w:rPr>
          <w:rFonts w:cstheme="minorHAnsi"/>
        </w:rPr>
        <w:t> : means, without double counting, and calculated by the board of managers on the basis of the Relevant Interim Accounts (A) the total amount of net profits of the Company (including carried forward profits) increased by any freely distributable reserves but reduced by (</w:t>
      </w:r>
      <w:proofErr w:type="spellStart"/>
      <w:r>
        <w:rPr>
          <w:rFonts w:cstheme="minorHAnsi"/>
        </w:rPr>
        <w:t>i</w:t>
      </w:r>
      <w:proofErr w:type="spellEnd"/>
      <w:r>
        <w:rPr>
          <w:rFonts w:cstheme="minorHAnsi"/>
        </w:rPr>
        <w:t>) any loss (including loss carried forward), (ii) any sums that have to be placed into reserve pursuant to the requirements of the law or the Articles of Association and (iii) the amount of (</w:t>
      </w:r>
      <w:r>
        <w:rPr>
          <w:rFonts w:cstheme="minorHAnsi"/>
          <w:shd w:val="clear" w:color="auto" w:fill="FFFF00"/>
        </w:rPr>
        <w:t>xxx</w:t>
      </w:r>
      <w:r>
        <w:rPr>
          <w:rFonts w:cstheme="minorHAnsi"/>
        </w:rPr>
        <w:t xml:space="preserve">) the preferred dividend set out in article </w:t>
      </w:r>
      <w:r>
        <w:rPr>
          <w:rFonts w:cstheme="minorHAnsi"/>
          <w:highlight w:val="yellow"/>
        </w:rPr>
        <w:t>25</w:t>
      </w:r>
      <w:r>
        <w:rPr>
          <w:rFonts w:cstheme="minorHAnsi"/>
        </w:rPr>
        <w:t xml:space="preserve"> that would have been allocated to the class or classes of Shares with an alphabetic letter preceding, in alphabetic order, the alphabet letter of the Relevant Class, had the Company distributed a dividend in accordance with article </w:t>
      </w:r>
      <w:r>
        <w:rPr>
          <w:rFonts w:cstheme="minorHAnsi"/>
          <w:highlight w:val="yellow"/>
        </w:rPr>
        <w:t>25</w:t>
      </w:r>
      <w:r>
        <w:rPr>
          <w:rFonts w:cstheme="minorHAnsi"/>
        </w:rPr>
        <w:t xml:space="preserve">, at the time of the redemption of the Relevant Class, and (y) any such preferred dividend that would have been allocated to any class of Shares with an alphabetic letter preceding the Relevant Class at the time of any previous redemption of a class of Shares, had the Company distributed a dividend in accordance with article </w:t>
      </w:r>
      <w:r>
        <w:rPr>
          <w:rFonts w:cstheme="minorHAnsi"/>
          <w:highlight w:val="yellow"/>
        </w:rPr>
        <w:t>25</w:t>
      </w:r>
      <w:r>
        <w:rPr>
          <w:rFonts w:cstheme="minorHAnsi"/>
        </w:rPr>
        <w:t xml:space="preserve"> at the time of such previous redemption, so </w:t>
      </w:r>
      <w:r>
        <w:rPr>
          <w:rFonts w:cstheme="minorHAnsi"/>
        </w:rPr>
        <w:lastRenderedPageBreak/>
        <w:t>that:</w:t>
      </w:r>
    </w:p>
    <w:p w14:paraId="778A36A3" w14:textId="77777777" w:rsidR="00EC45B1" w:rsidRDefault="00000000">
      <w:pPr>
        <w:pStyle w:val="AoALevel3Article11"/>
        <w:widowControl w:val="0"/>
        <w:numPr>
          <w:ilvl w:val="0"/>
          <w:numId w:val="0"/>
        </w:numPr>
        <w:spacing w:after="0"/>
        <w:ind w:left="900"/>
        <w:contextualSpacing/>
        <w:rPr>
          <w:rFonts w:cstheme="minorHAnsi"/>
        </w:rPr>
      </w:pPr>
      <w:r>
        <w:rPr>
          <w:rFonts w:cstheme="minorHAnsi"/>
        </w:rPr>
        <w:t>AA = (NP + P)</w:t>
      </w:r>
      <w:proofErr w:type="gramStart"/>
      <w:r>
        <w:rPr>
          <w:rFonts w:cstheme="minorHAnsi"/>
        </w:rPr>
        <w:t>-(</w:t>
      </w:r>
      <w:proofErr w:type="gramEnd"/>
      <w:r>
        <w:rPr>
          <w:rFonts w:cstheme="minorHAnsi"/>
        </w:rPr>
        <w:t xml:space="preserve">L+ LR + PR) whereby: </w:t>
      </w:r>
    </w:p>
    <w:p w14:paraId="0C5F140A" w14:textId="77777777" w:rsidR="00EC45B1" w:rsidRDefault="00000000">
      <w:pPr>
        <w:pStyle w:val="AoALevel3Article11"/>
        <w:widowControl w:val="0"/>
        <w:numPr>
          <w:ilvl w:val="0"/>
          <w:numId w:val="0"/>
        </w:numPr>
        <w:spacing w:after="0"/>
        <w:ind w:left="900"/>
        <w:contextualSpacing/>
        <w:rPr>
          <w:rFonts w:cstheme="minorHAnsi"/>
        </w:rPr>
      </w:pPr>
      <w:r>
        <w:rPr>
          <w:rFonts w:cstheme="minorHAnsi"/>
        </w:rPr>
        <w:t xml:space="preserve">AA = Available Amount </w:t>
      </w:r>
    </w:p>
    <w:p w14:paraId="36906AD2" w14:textId="77777777" w:rsidR="00EC45B1" w:rsidRDefault="00000000">
      <w:pPr>
        <w:pStyle w:val="AoALevel3Article11"/>
        <w:widowControl w:val="0"/>
        <w:numPr>
          <w:ilvl w:val="0"/>
          <w:numId w:val="0"/>
        </w:numPr>
        <w:spacing w:after="0"/>
        <w:ind w:left="900"/>
        <w:contextualSpacing/>
        <w:rPr>
          <w:rFonts w:cstheme="minorHAnsi"/>
        </w:rPr>
      </w:pPr>
      <w:r>
        <w:rPr>
          <w:rFonts w:cstheme="minorHAnsi"/>
        </w:rPr>
        <w:t xml:space="preserve">NP = net profits (including carried forward profits) </w:t>
      </w:r>
    </w:p>
    <w:p w14:paraId="5D5ED40D" w14:textId="77777777" w:rsidR="00EC45B1" w:rsidRDefault="00000000">
      <w:pPr>
        <w:pStyle w:val="AoALevel3Article11"/>
        <w:widowControl w:val="0"/>
        <w:numPr>
          <w:ilvl w:val="0"/>
          <w:numId w:val="0"/>
        </w:numPr>
        <w:spacing w:after="0"/>
        <w:ind w:left="900"/>
        <w:contextualSpacing/>
        <w:rPr>
          <w:rFonts w:cstheme="minorHAnsi"/>
        </w:rPr>
      </w:pPr>
      <w:r>
        <w:rPr>
          <w:rFonts w:cstheme="minorHAnsi"/>
        </w:rPr>
        <w:t>P = any freely distributable reserves</w:t>
      </w:r>
    </w:p>
    <w:p w14:paraId="19F9E7CB" w14:textId="77777777" w:rsidR="00EC45B1" w:rsidRDefault="00000000">
      <w:pPr>
        <w:pStyle w:val="AoALevel3Article11"/>
        <w:widowControl w:val="0"/>
        <w:numPr>
          <w:ilvl w:val="0"/>
          <w:numId w:val="0"/>
        </w:numPr>
        <w:spacing w:after="0"/>
        <w:ind w:left="900"/>
        <w:contextualSpacing/>
        <w:rPr>
          <w:rFonts w:cstheme="minorHAnsi"/>
        </w:rPr>
      </w:pPr>
      <w:r>
        <w:rPr>
          <w:rFonts w:cstheme="minorHAnsi"/>
        </w:rPr>
        <w:t>L = losses (including carried forward losses)</w:t>
      </w:r>
    </w:p>
    <w:p w14:paraId="233E0DE5" w14:textId="77777777" w:rsidR="00EC45B1" w:rsidRDefault="00000000">
      <w:pPr>
        <w:pStyle w:val="AoALevel3Article11"/>
        <w:widowControl w:val="0"/>
        <w:numPr>
          <w:ilvl w:val="0"/>
          <w:numId w:val="0"/>
        </w:numPr>
        <w:spacing w:after="0"/>
        <w:ind w:left="900"/>
        <w:contextualSpacing/>
        <w:rPr>
          <w:rFonts w:cstheme="minorHAnsi"/>
        </w:rPr>
      </w:pPr>
      <w:r>
        <w:rPr>
          <w:rFonts w:cstheme="minorHAnsi"/>
        </w:rPr>
        <w:t xml:space="preserve">LR = any sums to be placed into reserve(s) pursuant to the requirements of the law or the Articles of Association. </w:t>
      </w:r>
    </w:p>
    <w:p w14:paraId="1EA7D80B" w14:textId="77777777" w:rsidR="00EC45B1" w:rsidRDefault="00000000">
      <w:pPr>
        <w:pStyle w:val="AoALevel3Article11"/>
        <w:widowControl w:val="0"/>
        <w:numPr>
          <w:ilvl w:val="0"/>
          <w:numId w:val="0"/>
        </w:numPr>
        <w:spacing w:after="0"/>
        <w:ind w:left="900"/>
        <w:contextualSpacing/>
        <w:rPr>
          <w:rFonts w:cstheme="minorHAnsi"/>
        </w:rPr>
      </w:pPr>
      <w:r>
        <w:rPr>
          <w:rFonts w:cstheme="minorHAnsi"/>
        </w:rPr>
        <w:t xml:space="preserve">PR = any preferred dividend distributed in accordance with article </w:t>
      </w:r>
      <w:r>
        <w:rPr>
          <w:rFonts w:cstheme="minorHAnsi"/>
          <w:highlight w:val="yellow"/>
        </w:rPr>
        <w:t>25</w:t>
      </w:r>
      <w:r>
        <w:rPr>
          <w:rFonts w:cstheme="minorHAnsi"/>
        </w:rPr>
        <w:t>.</w:t>
      </w:r>
    </w:p>
    <w:p w14:paraId="2817ED46" w14:textId="77777777" w:rsidR="00EC45B1" w:rsidRDefault="00000000">
      <w:pPr>
        <w:pStyle w:val="AoALevel3Article11"/>
        <w:widowControl w:val="0"/>
        <w:numPr>
          <w:ilvl w:val="0"/>
          <w:numId w:val="0"/>
        </w:numPr>
        <w:spacing w:after="0"/>
        <w:ind w:left="540"/>
        <w:contextualSpacing/>
        <w:rPr>
          <w:rFonts w:cstheme="minorHAnsi"/>
          <w:bCs w:val="0"/>
        </w:rPr>
      </w:pPr>
      <w:r>
        <w:rPr>
          <w:rFonts w:cstheme="minorHAnsi"/>
          <w:b/>
        </w:rPr>
        <w:t>Available Cash:</w:t>
      </w:r>
      <w:r>
        <w:rPr>
          <w:rFonts w:cstheme="minorHAnsi"/>
          <w:bCs w:val="0"/>
        </w:rPr>
        <w:t xml:space="preserve"> means all the cash held by the Company as calculated by the board of managers (except for cash on term deposits with a remaining maturity exceeding six (6) months), any readily marketable money market instruments, bonds and notes and any receivable which in the opinion of the board of managers will be paid to the Company in the short term less any indebtedness or other debt of the Company payable in less than six (6) months determined on the basis of the Relevant Interim Accounts.</w:t>
      </w:r>
    </w:p>
    <w:p w14:paraId="38F650A6" w14:textId="77777777" w:rsidR="00EC45B1" w:rsidRDefault="00000000">
      <w:pPr>
        <w:pStyle w:val="AoALevel3Article11"/>
        <w:widowControl w:val="0"/>
        <w:numPr>
          <w:ilvl w:val="0"/>
          <w:numId w:val="0"/>
        </w:numPr>
        <w:spacing w:after="0"/>
        <w:ind w:left="540"/>
        <w:contextualSpacing/>
        <w:rPr>
          <w:rFonts w:cstheme="minorHAnsi"/>
          <w:bCs w:val="0"/>
        </w:rPr>
      </w:pPr>
      <w:r>
        <w:rPr>
          <w:rFonts w:cstheme="minorHAnsi"/>
          <w:b/>
        </w:rPr>
        <w:t xml:space="preserve">Available Cash Per </w:t>
      </w:r>
      <w:proofErr w:type="gramStart"/>
      <w:r>
        <w:rPr>
          <w:rFonts w:cstheme="minorHAnsi"/>
          <w:b/>
        </w:rPr>
        <w:t>Share</w:t>
      </w:r>
      <w:r>
        <w:rPr>
          <w:rFonts w:cstheme="minorHAnsi"/>
          <w:bCs w:val="0"/>
        </w:rPr>
        <w:t>:</w:t>
      </w:r>
      <w:proofErr w:type="gramEnd"/>
      <w:r>
        <w:rPr>
          <w:rFonts w:cstheme="minorHAnsi"/>
          <w:bCs w:val="0"/>
        </w:rPr>
        <w:t xml:space="preserve"> means the Available Cash divided by the number of Shares in issue of the Relevant Class.</w:t>
      </w:r>
    </w:p>
    <w:p w14:paraId="5C80CF50" w14:textId="77777777" w:rsidR="00EC45B1" w:rsidRDefault="00000000">
      <w:pPr>
        <w:pStyle w:val="AoALevel3Article11"/>
        <w:widowControl w:val="0"/>
        <w:numPr>
          <w:ilvl w:val="0"/>
          <w:numId w:val="0"/>
        </w:numPr>
        <w:spacing w:after="0"/>
        <w:ind w:left="540"/>
        <w:contextualSpacing/>
        <w:rPr>
          <w:rFonts w:cstheme="minorHAnsi"/>
          <w:bCs w:val="0"/>
        </w:rPr>
      </w:pPr>
      <w:r>
        <w:rPr>
          <w:rFonts w:cstheme="minorHAnsi"/>
          <w:b/>
        </w:rPr>
        <w:t>Business Day</w:t>
      </w:r>
      <w:r>
        <w:rPr>
          <w:rFonts w:cstheme="minorHAnsi"/>
          <w:bCs w:val="0"/>
        </w:rPr>
        <w:t>: means a day (which is not a Saturday or a Sunday or a holiday) on which banks are open and accessible to automated banking operations, in Luxembourg.</w:t>
      </w:r>
    </w:p>
    <w:p w14:paraId="549E1630" w14:textId="77777777" w:rsidR="00EC45B1" w:rsidRDefault="00000000">
      <w:pPr>
        <w:pStyle w:val="AoALevel3Article11"/>
        <w:widowControl w:val="0"/>
        <w:numPr>
          <w:ilvl w:val="0"/>
          <w:numId w:val="0"/>
        </w:numPr>
        <w:spacing w:after="0"/>
        <w:ind w:left="540"/>
        <w:contextualSpacing/>
        <w:rPr>
          <w:rFonts w:cstheme="minorHAnsi"/>
          <w:bCs w:val="0"/>
        </w:rPr>
      </w:pPr>
      <w:r>
        <w:rPr>
          <w:rFonts w:cstheme="minorHAnsi"/>
          <w:b/>
        </w:rPr>
        <w:t xml:space="preserve">Cancellation Value Per </w:t>
      </w:r>
      <w:proofErr w:type="gramStart"/>
      <w:r>
        <w:rPr>
          <w:rFonts w:cstheme="minorHAnsi"/>
          <w:b/>
        </w:rPr>
        <w:t>Share:</w:t>
      </w:r>
      <w:proofErr w:type="gramEnd"/>
      <w:r>
        <w:rPr>
          <w:rFonts w:cstheme="minorHAnsi"/>
          <w:bCs w:val="0"/>
        </w:rPr>
        <w:t xml:space="preserve"> has the meaning given to the term in Article </w:t>
      </w:r>
      <w:r>
        <w:rPr>
          <w:rFonts w:cstheme="minorHAnsi"/>
          <w:bCs w:val="0"/>
          <w:highlight w:val="yellow"/>
        </w:rPr>
        <w:t>5.4</w:t>
      </w:r>
      <w:r>
        <w:rPr>
          <w:rFonts w:cstheme="minorHAnsi"/>
          <w:bCs w:val="0"/>
        </w:rPr>
        <w:t>.</w:t>
      </w:r>
    </w:p>
    <w:p w14:paraId="4FC61F61" w14:textId="77777777" w:rsidR="00EC45B1" w:rsidRDefault="00000000">
      <w:pPr>
        <w:pStyle w:val="AoALevel3Article11"/>
        <w:widowControl w:val="0"/>
        <w:numPr>
          <w:ilvl w:val="0"/>
          <w:numId w:val="0"/>
        </w:numPr>
        <w:spacing w:after="0"/>
        <w:ind w:left="540"/>
        <w:contextualSpacing/>
        <w:rPr>
          <w:rFonts w:cstheme="minorHAnsi"/>
        </w:rPr>
      </w:pPr>
      <w:r>
        <w:rPr>
          <w:rFonts w:cstheme="minorHAnsi"/>
          <w:b/>
          <w:bCs w:val="0"/>
        </w:rPr>
        <w:t>Relevant Class</w:t>
      </w:r>
      <w:r>
        <w:rPr>
          <w:rFonts w:cstheme="minorHAnsi"/>
        </w:rPr>
        <w:t xml:space="preserve">: has the meaning given to the term in Article </w:t>
      </w:r>
      <w:r>
        <w:rPr>
          <w:rFonts w:cstheme="minorHAnsi"/>
          <w:highlight w:val="yellow"/>
        </w:rPr>
        <w:t>5.4</w:t>
      </w:r>
      <w:r>
        <w:rPr>
          <w:rFonts w:cstheme="minorHAnsi"/>
        </w:rPr>
        <w:t>.</w:t>
      </w:r>
    </w:p>
    <w:p w14:paraId="7EAEB44F" w14:textId="77777777" w:rsidR="00EC45B1" w:rsidRDefault="00000000">
      <w:pPr>
        <w:pStyle w:val="AoALevel3Article11"/>
        <w:widowControl w:val="0"/>
        <w:numPr>
          <w:ilvl w:val="0"/>
          <w:numId w:val="0"/>
        </w:numPr>
        <w:spacing w:after="0"/>
        <w:ind w:left="540"/>
        <w:contextualSpacing/>
        <w:rPr>
          <w:rFonts w:cstheme="minorHAnsi"/>
        </w:rPr>
      </w:pPr>
      <w:r>
        <w:rPr>
          <w:rFonts w:cstheme="minorHAnsi"/>
          <w:b/>
          <w:bCs w:val="0"/>
        </w:rPr>
        <w:t>Relevant Interim Accounts</w:t>
      </w:r>
      <w:r>
        <w:rPr>
          <w:rFonts w:cstheme="minorHAnsi"/>
        </w:rPr>
        <w:t>: means the interim accounts of the Company prepared by the board of managers each time at a date not earlier than eight (8) days before the board of managers’ meeting which shall approve the redemption and cancellation of the Shares of the Relevant Class.</w:t>
      </w:r>
    </w:p>
    <w:p w14:paraId="0F48465E" w14:textId="77777777" w:rsidR="00EC45B1" w:rsidRDefault="00000000">
      <w:pPr>
        <w:pStyle w:val="AoALevel3Article11"/>
        <w:widowControl w:val="0"/>
        <w:numPr>
          <w:ilvl w:val="0"/>
          <w:numId w:val="0"/>
        </w:numPr>
        <w:spacing w:after="0"/>
        <w:ind w:left="540"/>
        <w:contextualSpacing/>
        <w:rPr>
          <w:rFonts w:cstheme="minorHAnsi"/>
        </w:rPr>
      </w:pPr>
      <w:r>
        <w:rPr>
          <w:rFonts w:cstheme="minorHAnsi"/>
          <w:b/>
          <w:bCs w:val="0"/>
        </w:rPr>
        <w:t>Relevant Preceding Class</w:t>
      </w:r>
      <w:r>
        <w:rPr>
          <w:rFonts w:cstheme="minorHAnsi"/>
        </w:rPr>
        <w:t>: means the class of Shares with an alphabet letter immediately preceding in reverse alphabetic order, the alphabet letter of the Relevant Class.</w:t>
      </w:r>
    </w:p>
    <w:p w14:paraId="62C04DCD" w14:textId="77777777" w:rsidR="00EC45B1" w:rsidRDefault="00000000">
      <w:pPr>
        <w:pStyle w:val="AoALevel1ABC"/>
        <w:keepNext w:val="0"/>
        <w:widowControl w:val="0"/>
        <w:numPr>
          <w:ilvl w:val="0"/>
          <w:numId w:val="61"/>
        </w:numPr>
        <w:pBdr>
          <w:bottom w:val="single" w:sz="6" w:space="4" w:color="1F4E5F"/>
        </w:pBdr>
        <w:tabs>
          <w:tab w:val="clear" w:pos="680"/>
          <w:tab w:val="left" w:pos="426"/>
        </w:tabs>
        <w:spacing w:before="360" w:after="240"/>
        <w:ind w:left="677" w:hanging="677"/>
        <w:contextualSpacing/>
        <w:rPr>
          <w:rStyle w:val="Heading20"/>
          <w:rFonts w:cstheme="minorHAnsi"/>
          <w:sz w:val="22"/>
          <w:szCs w:val="22"/>
          <w:lang w:val="en-GB"/>
        </w:rPr>
      </w:pPr>
      <w:r>
        <w:rPr>
          <w:rStyle w:val="Heading20"/>
          <w:rFonts w:cstheme="minorHAnsi"/>
          <w:sz w:val="22"/>
          <w:szCs w:val="22"/>
          <w:lang w:val="en-GB"/>
        </w:rPr>
        <w:t xml:space="preserve">FINAL PROVISION - APPLICABLE LAW </w:t>
      </w:r>
    </w:p>
    <w:p w14:paraId="0675A085" w14:textId="77777777" w:rsidR="00EC45B1" w:rsidRDefault="00000000">
      <w:pPr>
        <w:pStyle w:val="AoALevel2Article1"/>
        <w:keepNext w:val="0"/>
        <w:widowControl w:val="0"/>
        <w:numPr>
          <w:ilvl w:val="0"/>
          <w:numId w:val="0"/>
        </w:numPr>
        <w:spacing w:before="120" w:after="0"/>
        <w:contextualSpacing/>
        <w:rPr>
          <w:rFonts w:cstheme="minorHAnsi"/>
        </w:rPr>
      </w:pPr>
      <w:r>
        <w:rPr>
          <w:rFonts w:cstheme="minorHAnsi"/>
        </w:rPr>
        <w:t xml:space="preserve">Article 28 </w:t>
      </w:r>
      <w:r>
        <w:rPr>
          <w:rFonts w:cstheme="minorHAnsi"/>
        </w:rPr>
        <w:tab/>
        <w:t>Applicable law</w:t>
      </w:r>
    </w:p>
    <w:p w14:paraId="699BC922" w14:textId="77777777" w:rsidR="00EC45B1" w:rsidRDefault="00000000">
      <w:pPr>
        <w:widowControl w:val="0"/>
        <w:contextualSpacing/>
        <w:rPr>
          <w:rFonts w:cstheme="minorHAnsi"/>
          <w:lang w:val="en-GB"/>
        </w:rPr>
      </w:pPr>
      <w:r>
        <w:rPr>
          <w:rFonts w:cstheme="minorHAnsi"/>
          <w:lang w:val="en-GB"/>
        </w:rPr>
        <w:t>Anything that is not governed by these articles, will be determined in accordance with the Law.</w:t>
      </w:r>
    </w:p>
    <w:p w14:paraId="18800DBF" w14:textId="77777777" w:rsidR="00EC45B1" w:rsidRDefault="00000000">
      <w:pPr>
        <w:pStyle w:val="Title3"/>
        <w:widowControl w:val="0"/>
        <w:spacing w:before="360" w:after="240"/>
        <w:rPr>
          <w:rFonts w:cstheme="minorHAnsi"/>
          <w:b w:val="0"/>
          <w:lang w:val="en-GB"/>
        </w:rPr>
      </w:pPr>
      <w:r>
        <w:rPr>
          <w:rFonts w:cstheme="minorHAnsi"/>
          <w:caps w:val="0"/>
          <w:lang w:val="en-GB"/>
        </w:rPr>
        <w:t>TRANSITORY PROVISIONS</w:t>
      </w:r>
    </w:p>
    <w:p w14:paraId="039C1D8D" w14:textId="77777777" w:rsidR="00EC45B1" w:rsidRDefault="00000000">
      <w:pPr>
        <w:widowControl w:val="0"/>
        <w:ind w:firstLine="426"/>
        <w:contextualSpacing/>
        <w:jc w:val="both"/>
        <w:rPr>
          <w:rFonts w:cstheme="minorHAnsi"/>
          <w:lang w:val="en-GB"/>
        </w:rPr>
      </w:pPr>
      <w:r>
        <w:rPr>
          <w:rFonts w:cstheme="minorHAnsi"/>
          <w:lang w:val="en-GB"/>
        </w:rPr>
        <w:t>The first financial year begins on the day of the incorporation and ends on the [</w:t>
      </w:r>
      <w:r>
        <w:rPr>
          <w:rFonts w:cstheme="minorHAnsi"/>
          <w:highlight w:val="yellow"/>
          <w:lang w:val="en-GB"/>
        </w:rPr>
        <w:t>day month year in letters</w:t>
      </w:r>
      <w:r>
        <w:rPr>
          <w:rFonts w:cstheme="minorHAnsi"/>
          <w:lang w:val="en-GB"/>
        </w:rPr>
        <w:t xml:space="preserve">]. </w:t>
      </w:r>
    </w:p>
    <w:p w14:paraId="17265070" w14:textId="77777777" w:rsidR="00EC45B1" w:rsidRDefault="00000000">
      <w:pPr>
        <w:pStyle w:val="Title3"/>
        <w:widowControl w:val="0"/>
        <w:spacing w:before="360" w:after="240"/>
        <w:rPr>
          <w:rFonts w:cstheme="minorHAnsi"/>
          <w:caps w:val="0"/>
          <w:lang w:val="en-GB"/>
        </w:rPr>
      </w:pPr>
      <w:r>
        <w:rPr>
          <w:rFonts w:cstheme="minorHAnsi"/>
          <w:caps w:val="0"/>
          <w:lang w:val="en-GB"/>
        </w:rPr>
        <w:t>SUBSCRIPTION – PAYMENT</w:t>
      </w:r>
    </w:p>
    <w:p w14:paraId="33E8A497" w14:textId="77777777" w:rsidR="00EC45B1" w:rsidRDefault="00000000">
      <w:pPr>
        <w:pStyle w:val="AoALevel1ABC"/>
        <w:keepNext w:val="0"/>
        <w:widowControl w:val="0"/>
        <w:numPr>
          <w:ilvl w:val="0"/>
          <w:numId w:val="0"/>
        </w:numPr>
        <w:pBdr>
          <w:bottom w:val="single" w:sz="6" w:space="4" w:color="1F4E5F"/>
        </w:pBdr>
        <w:tabs>
          <w:tab w:val="clear" w:pos="680"/>
          <w:tab w:val="left" w:pos="426"/>
        </w:tabs>
        <w:spacing w:before="360" w:after="0"/>
        <w:contextualSpacing/>
      </w:pPr>
      <w:r>
        <w:rPr>
          <w:rStyle w:val="Heading20"/>
          <w:b w:val="0"/>
          <w:bCs w:val="0"/>
          <w:i/>
          <w:iCs/>
          <w:caps w:val="0"/>
          <w:sz w:val="22"/>
          <w:szCs w:val="22"/>
          <w:highlight w:val="cyan"/>
          <w:u w:val="none"/>
        </w:rPr>
        <w:t>Standard provision in case the capital has been fully paid up at incorporation:</w:t>
      </w:r>
    </w:p>
    <w:p w14:paraId="7EFF0EC4" w14:textId="77777777" w:rsidR="00EC45B1" w:rsidRPr="007F5ECF" w:rsidRDefault="00000000">
      <w:pPr>
        <w:widowControl w:val="0"/>
        <w:contextualSpacing/>
        <w:jc w:val="both"/>
        <w:rPr>
          <w:rFonts w:cstheme="minorHAnsi"/>
          <w:sz w:val="22"/>
          <w:szCs w:val="22"/>
          <w:lang w:val="en-GB"/>
        </w:rPr>
      </w:pPr>
      <w:r w:rsidRPr="007F5ECF">
        <w:rPr>
          <w:rFonts w:cstheme="minorHAnsi"/>
          <w:sz w:val="22"/>
          <w:szCs w:val="22"/>
          <w:lang w:val="en-GB"/>
        </w:rPr>
        <w:t>The articles of association of the Company having been thus adopted, all the shares have been subscribed and fully paid up in nominal value by contribution in cash as follows (the " </w:t>
      </w:r>
      <w:r w:rsidRPr="007F5ECF">
        <w:rPr>
          <w:rFonts w:cstheme="minorHAnsi"/>
          <w:b/>
          <w:sz w:val="22"/>
          <w:szCs w:val="22"/>
          <w:lang w:val="en-GB"/>
        </w:rPr>
        <w:t>Partners</w:t>
      </w:r>
      <w:r w:rsidRPr="007F5ECF">
        <w:rPr>
          <w:rFonts w:cstheme="minorHAnsi"/>
          <w:sz w:val="22"/>
          <w:szCs w:val="22"/>
          <w:lang w:val="en-GB"/>
        </w:rPr>
        <w:t>"):</w:t>
      </w:r>
    </w:p>
    <w:p w14:paraId="19E67436" w14:textId="77777777" w:rsidR="00EC45B1" w:rsidRPr="007F5ECF" w:rsidRDefault="00EC45B1">
      <w:pPr>
        <w:widowControl w:val="0"/>
        <w:contextualSpacing/>
        <w:jc w:val="both"/>
        <w:rPr>
          <w:rFonts w:cstheme="minorHAnsi"/>
          <w:sz w:val="22"/>
          <w:szCs w:val="22"/>
          <w:lang w:val="en-GB"/>
        </w:rPr>
      </w:pPr>
    </w:p>
    <w:tbl>
      <w:tblPr>
        <w:tblW w:w="5000" w:type="pct"/>
        <w:tblInd w:w="108" w:type="dxa"/>
        <w:tblLayout w:type="fixed"/>
        <w:tblLook w:val="0000" w:firstRow="0" w:lastRow="0" w:firstColumn="0" w:lastColumn="0" w:noHBand="0" w:noVBand="0"/>
      </w:tblPr>
      <w:tblGrid>
        <w:gridCol w:w="4105"/>
        <w:gridCol w:w="2825"/>
        <w:gridCol w:w="2718"/>
      </w:tblGrid>
      <w:tr w:rsidR="00EC45B1" w:rsidRPr="007F5ECF" w14:paraId="38F5DAE7" w14:textId="77777777">
        <w:tc>
          <w:tcPr>
            <w:tcW w:w="4105" w:type="dxa"/>
            <w:tcBorders>
              <w:bottom w:val="single" w:sz="4" w:space="0" w:color="000000"/>
              <w:right w:val="single" w:sz="4" w:space="0" w:color="000000"/>
            </w:tcBorders>
          </w:tcPr>
          <w:p w14:paraId="3904EA99" w14:textId="77777777" w:rsidR="00EC45B1" w:rsidRPr="007F5ECF" w:rsidRDefault="00000000">
            <w:pPr>
              <w:pStyle w:val="Footer"/>
              <w:widowControl w:val="0"/>
              <w:tabs>
                <w:tab w:val="left" w:pos="142"/>
                <w:tab w:val="center" w:pos="2568"/>
              </w:tabs>
              <w:contextualSpacing/>
              <w:rPr>
                <w:rFonts w:cstheme="minorHAnsi"/>
                <w:sz w:val="22"/>
                <w:szCs w:val="22"/>
                <w:lang w:val="en-GB"/>
              </w:rPr>
            </w:pPr>
            <w:r w:rsidRPr="007F5ECF">
              <w:rPr>
                <w:rFonts w:cstheme="minorHAnsi"/>
                <w:sz w:val="22"/>
                <w:szCs w:val="22"/>
                <w:lang w:val="en-GB"/>
              </w:rPr>
              <w:t>Subscriber</w:t>
            </w:r>
          </w:p>
        </w:tc>
        <w:tc>
          <w:tcPr>
            <w:tcW w:w="2825" w:type="dxa"/>
            <w:tcBorders>
              <w:left w:val="single" w:sz="4" w:space="0" w:color="000000"/>
              <w:bottom w:val="single" w:sz="4" w:space="0" w:color="000000"/>
              <w:right w:val="single" w:sz="4" w:space="0" w:color="000000"/>
            </w:tcBorders>
          </w:tcPr>
          <w:p w14:paraId="0CA8C527" w14:textId="77777777" w:rsidR="00EC45B1" w:rsidRPr="007F5ECF" w:rsidRDefault="00000000">
            <w:pPr>
              <w:pStyle w:val="Footer"/>
              <w:widowControl w:val="0"/>
              <w:tabs>
                <w:tab w:val="left" w:pos="142"/>
                <w:tab w:val="left" w:pos="5812"/>
              </w:tabs>
              <w:contextualSpacing/>
              <w:jc w:val="right"/>
              <w:rPr>
                <w:rFonts w:cstheme="minorHAnsi"/>
                <w:sz w:val="22"/>
                <w:szCs w:val="22"/>
                <w:lang w:val="en-GB"/>
              </w:rPr>
            </w:pPr>
            <w:r w:rsidRPr="007F5ECF">
              <w:rPr>
                <w:rFonts w:cstheme="minorHAnsi"/>
                <w:sz w:val="22"/>
                <w:szCs w:val="22"/>
                <w:lang w:val="en-GB"/>
              </w:rPr>
              <w:t>Shares</w:t>
            </w:r>
          </w:p>
        </w:tc>
        <w:tc>
          <w:tcPr>
            <w:tcW w:w="2718" w:type="dxa"/>
            <w:tcBorders>
              <w:left w:val="single" w:sz="4" w:space="0" w:color="000000"/>
              <w:bottom w:val="single" w:sz="4" w:space="0" w:color="000000"/>
            </w:tcBorders>
          </w:tcPr>
          <w:p w14:paraId="41A02D47" w14:textId="77777777" w:rsidR="00EC45B1" w:rsidRPr="007F5ECF" w:rsidRDefault="00000000">
            <w:pPr>
              <w:pStyle w:val="Footer"/>
              <w:widowControl w:val="0"/>
              <w:tabs>
                <w:tab w:val="left" w:pos="142"/>
                <w:tab w:val="left" w:pos="5812"/>
              </w:tabs>
              <w:contextualSpacing/>
              <w:jc w:val="right"/>
              <w:rPr>
                <w:rFonts w:cstheme="minorHAnsi"/>
                <w:sz w:val="22"/>
                <w:szCs w:val="22"/>
                <w:lang w:val="en-GB"/>
              </w:rPr>
            </w:pPr>
            <w:r w:rsidRPr="007F5ECF">
              <w:rPr>
                <w:rFonts w:cstheme="minorHAnsi"/>
                <w:sz w:val="22"/>
                <w:szCs w:val="22"/>
                <w:lang w:val="en-GB"/>
              </w:rPr>
              <w:t>Payment</w:t>
            </w:r>
          </w:p>
        </w:tc>
      </w:tr>
      <w:tr w:rsidR="00EC45B1" w:rsidRPr="007F5ECF" w14:paraId="5973AAFD" w14:textId="77777777">
        <w:tc>
          <w:tcPr>
            <w:tcW w:w="4105" w:type="dxa"/>
            <w:tcBorders>
              <w:top w:val="single" w:sz="4" w:space="0" w:color="000000"/>
              <w:bottom w:val="single" w:sz="4" w:space="0" w:color="000000"/>
              <w:right w:val="single" w:sz="4" w:space="0" w:color="000000"/>
            </w:tcBorders>
          </w:tcPr>
          <w:p w14:paraId="4ADBAF27" w14:textId="77777777" w:rsidR="00EC45B1" w:rsidRPr="007F5ECF" w:rsidRDefault="00000000">
            <w:pPr>
              <w:pStyle w:val="Footer"/>
              <w:widowControl w:val="0"/>
              <w:tabs>
                <w:tab w:val="left" w:pos="0"/>
                <w:tab w:val="left" w:pos="5812"/>
              </w:tabs>
              <w:contextualSpacing/>
              <w:rPr>
                <w:rFonts w:cstheme="minorHAnsi"/>
                <w:sz w:val="22"/>
                <w:szCs w:val="22"/>
                <w:lang w:val="en-GB"/>
              </w:rPr>
            </w:pPr>
            <w:r w:rsidRPr="007F5ECF">
              <w:rPr>
                <w:rFonts w:cstheme="minorHAnsi"/>
                <w:b/>
                <w:sz w:val="22"/>
                <w:szCs w:val="22"/>
                <w:lang w:val="en-GB"/>
              </w:rPr>
              <w:t>[</w:t>
            </w:r>
            <w:r w:rsidRPr="007F5ECF">
              <w:rPr>
                <w:rFonts w:cstheme="minorHAnsi"/>
                <w:b/>
                <w:sz w:val="22"/>
                <w:szCs w:val="22"/>
                <w:highlight w:val="yellow"/>
                <w:lang w:val="en-GB"/>
              </w:rPr>
              <w:t>Partner’s name</w:t>
            </w:r>
            <w:r w:rsidRPr="007F5ECF">
              <w:rPr>
                <w:rFonts w:cstheme="minorHAnsi"/>
                <w:b/>
                <w:sz w:val="22"/>
                <w:szCs w:val="22"/>
                <w:lang w:val="en-GB"/>
              </w:rPr>
              <w:t>]</w:t>
            </w:r>
            <w:r w:rsidRPr="007F5ECF">
              <w:rPr>
                <w:rFonts w:cstheme="minorHAnsi"/>
                <w:sz w:val="22"/>
                <w:szCs w:val="22"/>
                <w:lang w:val="en-GB"/>
              </w:rPr>
              <w:t xml:space="preserve"> abovenamed</w:t>
            </w:r>
          </w:p>
        </w:tc>
        <w:tc>
          <w:tcPr>
            <w:tcW w:w="2825" w:type="dxa"/>
            <w:tcBorders>
              <w:top w:val="single" w:sz="4" w:space="0" w:color="000000"/>
              <w:left w:val="single" w:sz="4" w:space="0" w:color="000000"/>
              <w:bottom w:val="single" w:sz="4" w:space="0" w:color="000000"/>
              <w:right w:val="single" w:sz="4" w:space="0" w:color="000000"/>
            </w:tcBorders>
          </w:tcPr>
          <w:p w14:paraId="68DB3FD6" w14:textId="77777777" w:rsidR="00EC45B1" w:rsidRPr="007F5ECF" w:rsidRDefault="00000000">
            <w:pPr>
              <w:pStyle w:val="Footer"/>
              <w:widowControl w:val="0"/>
              <w:tabs>
                <w:tab w:val="left" w:pos="142"/>
                <w:tab w:val="left" w:pos="5812"/>
              </w:tabs>
              <w:contextualSpacing/>
              <w:jc w:val="right"/>
              <w:rPr>
                <w:rFonts w:cstheme="minorHAnsi"/>
                <w:sz w:val="22"/>
                <w:szCs w:val="22"/>
                <w:lang w:val="en-GB"/>
              </w:rPr>
            </w:pPr>
            <w:r w:rsidRPr="007F5ECF">
              <w:rPr>
                <w:rFonts w:cstheme="minorHAnsi"/>
                <w:sz w:val="22"/>
                <w:szCs w:val="22"/>
                <w:lang w:val="en-GB"/>
              </w:rPr>
              <w:t>[</w:t>
            </w:r>
            <w:r w:rsidRPr="007F5ECF">
              <w:rPr>
                <w:rFonts w:cstheme="minorHAnsi"/>
                <w:sz w:val="22"/>
                <w:szCs w:val="22"/>
                <w:highlight w:val="yellow"/>
                <w:lang w:val="en-GB"/>
              </w:rPr>
              <w:t>quantity</w:t>
            </w:r>
            <w:r w:rsidRPr="007F5ECF">
              <w:rPr>
                <w:rFonts w:cstheme="minorHAnsi"/>
                <w:sz w:val="22"/>
                <w:szCs w:val="22"/>
                <w:lang w:val="en-GB"/>
              </w:rPr>
              <w:t>]</w:t>
            </w:r>
          </w:p>
        </w:tc>
        <w:tc>
          <w:tcPr>
            <w:tcW w:w="2718" w:type="dxa"/>
            <w:tcBorders>
              <w:top w:val="single" w:sz="4" w:space="0" w:color="000000"/>
              <w:left w:val="single" w:sz="4" w:space="0" w:color="000000"/>
              <w:bottom w:val="single" w:sz="4" w:space="0" w:color="000000"/>
            </w:tcBorders>
          </w:tcPr>
          <w:p w14:paraId="3E2CD853" w14:textId="77777777" w:rsidR="00EC45B1" w:rsidRPr="007F5ECF" w:rsidRDefault="00000000">
            <w:pPr>
              <w:pStyle w:val="Footer"/>
              <w:widowControl w:val="0"/>
              <w:tabs>
                <w:tab w:val="left" w:pos="142"/>
                <w:tab w:val="left" w:pos="5812"/>
              </w:tabs>
              <w:contextualSpacing/>
              <w:jc w:val="right"/>
              <w:rPr>
                <w:rFonts w:cstheme="minorHAnsi"/>
                <w:sz w:val="22"/>
                <w:szCs w:val="22"/>
                <w:lang w:val="en-GB"/>
              </w:rPr>
            </w:pPr>
            <w:r w:rsidRPr="007F5ECF">
              <w:rPr>
                <w:rFonts w:cstheme="minorHAnsi"/>
                <w:sz w:val="22"/>
                <w:szCs w:val="22"/>
                <w:lang w:val="en-GB"/>
              </w:rPr>
              <w:t>[</w:t>
            </w:r>
            <w:r w:rsidRPr="007F5ECF">
              <w:rPr>
                <w:rFonts w:cstheme="minorHAnsi"/>
                <w:sz w:val="22"/>
                <w:szCs w:val="22"/>
                <w:highlight w:val="yellow"/>
                <w:lang w:val="en-GB"/>
              </w:rPr>
              <w:t>currency + amount</w:t>
            </w:r>
            <w:r w:rsidRPr="007F5ECF">
              <w:rPr>
                <w:rFonts w:cstheme="minorHAnsi"/>
                <w:sz w:val="22"/>
                <w:szCs w:val="22"/>
                <w:lang w:val="en-GB"/>
              </w:rPr>
              <w:t>]</w:t>
            </w:r>
          </w:p>
        </w:tc>
      </w:tr>
      <w:tr w:rsidR="00EC45B1" w:rsidRPr="007F5ECF" w14:paraId="56C09ADB" w14:textId="77777777">
        <w:tc>
          <w:tcPr>
            <w:tcW w:w="4105" w:type="dxa"/>
            <w:tcBorders>
              <w:top w:val="single" w:sz="4" w:space="0" w:color="000000"/>
              <w:bottom w:val="single" w:sz="4" w:space="0" w:color="000000"/>
              <w:right w:val="single" w:sz="4" w:space="0" w:color="000000"/>
            </w:tcBorders>
          </w:tcPr>
          <w:p w14:paraId="457386A6" w14:textId="77777777" w:rsidR="00EC45B1" w:rsidRPr="007F5ECF" w:rsidRDefault="00000000">
            <w:pPr>
              <w:pStyle w:val="Footer"/>
              <w:widowControl w:val="0"/>
              <w:tabs>
                <w:tab w:val="left" w:pos="0"/>
                <w:tab w:val="left" w:pos="5812"/>
              </w:tabs>
              <w:contextualSpacing/>
              <w:rPr>
                <w:rFonts w:cstheme="minorHAnsi"/>
                <w:b/>
                <w:sz w:val="22"/>
                <w:szCs w:val="22"/>
                <w:lang w:val="en-GB"/>
              </w:rPr>
            </w:pPr>
            <w:r w:rsidRPr="007F5ECF">
              <w:rPr>
                <w:rFonts w:cstheme="minorHAnsi"/>
                <w:b/>
                <w:sz w:val="22"/>
                <w:szCs w:val="22"/>
                <w:lang w:val="en-GB"/>
              </w:rPr>
              <w:t>[</w:t>
            </w:r>
            <w:r w:rsidRPr="007F5ECF">
              <w:rPr>
                <w:rFonts w:cstheme="minorHAnsi"/>
                <w:b/>
                <w:sz w:val="22"/>
                <w:szCs w:val="22"/>
                <w:highlight w:val="yellow"/>
                <w:lang w:val="en-GB"/>
              </w:rPr>
              <w:t>Partner’s name</w:t>
            </w:r>
            <w:r w:rsidRPr="007F5ECF">
              <w:rPr>
                <w:rFonts w:cstheme="minorHAnsi"/>
                <w:b/>
                <w:sz w:val="22"/>
                <w:szCs w:val="22"/>
                <w:lang w:val="en-GB"/>
              </w:rPr>
              <w:t>]</w:t>
            </w:r>
            <w:r w:rsidRPr="007F5ECF">
              <w:rPr>
                <w:rFonts w:cstheme="minorHAnsi"/>
                <w:sz w:val="22"/>
                <w:szCs w:val="22"/>
                <w:lang w:val="en-GB"/>
              </w:rPr>
              <w:t xml:space="preserve"> abovenamed</w:t>
            </w:r>
          </w:p>
        </w:tc>
        <w:tc>
          <w:tcPr>
            <w:tcW w:w="2825" w:type="dxa"/>
            <w:tcBorders>
              <w:top w:val="single" w:sz="4" w:space="0" w:color="000000"/>
              <w:left w:val="single" w:sz="4" w:space="0" w:color="000000"/>
              <w:bottom w:val="single" w:sz="4" w:space="0" w:color="000000"/>
              <w:right w:val="single" w:sz="4" w:space="0" w:color="000000"/>
            </w:tcBorders>
          </w:tcPr>
          <w:p w14:paraId="7C0166DE" w14:textId="77777777" w:rsidR="00EC45B1" w:rsidRPr="007F5ECF" w:rsidRDefault="00000000">
            <w:pPr>
              <w:pStyle w:val="Footer"/>
              <w:widowControl w:val="0"/>
              <w:tabs>
                <w:tab w:val="left" w:pos="142"/>
                <w:tab w:val="left" w:pos="5812"/>
              </w:tabs>
              <w:contextualSpacing/>
              <w:jc w:val="right"/>
              <w:rPr>
                <w:rFonts w:cstheme="minorHAnsi"/>
                <w:sz w:val="22"/>
                <w:szCs w:val="22"/>
                <w:lang w:val="en-GB"/>
              </w:rPr>
            </w:pPr>
            <w:r w:rsidRPr="007F5ECF">
              <w:rPr>
                <w:rFonts w:cstheme="minorHAnsi"/>
                <w:sz w:val="22"/>
                <w:szCs w:val="22"/>
                <w:lang w:val="en-GB"/>
              </w:rPr>
              <w:t>[</w:t>
            </w:r>
            <w:r w:rsidRPr="007F5ECF">
              <w:rPr>
                <w:rFonts w:cstheme="minorHAnsi"/>
                <w:sz w:val="22"/>
                <w:szCs w:val="22"/>
                <w:highlight w:val="yellow"/>
                <w:lang w:val="en-GB"/>
              </w:rPr>
              <w:t>quantity</w:t>
            </w:r>
            <w:r w:rsidRPr="007F5ECF">
              <w:rPr>
                <w:rFonts w:cstheme="minorHAnsi"/>
                <w:sz w:val="22"/>
                <w:szCs w:val="22"/>
                <w:lang w:val="en-GB"/>
              </w:rPr>
              <w:t>]</w:t>
            </w:r>
          </w:p>
        </w:tc>
        <w:tc>
          <w:tcPr>
            <w:tcW w:w="2718" w:type="dxa"/>
            <w:tcBorders>
              <w:top w:val="single" w:sz="4" w:space="0" w:color="000000"/>
              <w:left w:val="single" w:sz="4" w:space="0" w:color="000000"/>
              <w:bottom w:val="single" w:sz="4" w:space="0" w:color="000000"/>
            </w:tcBorders>
          </w:tcPr>
          <w:p w14:paraId="5CD4474F" w14:textId="77777777" w:rsidR="00EC45B1" w:rsidRPr="007F5ECF" w:rsidRDefault="00000000">
            <w:pPr>
              <w:pStyle w:val="Footer"/>
              <w:widowControl w:val="0"/>
              <w:tabs>
                <w:tab w:val="left" w:pos="142"/>
                <w:tab w:val="left" w:pos="5812"/>
              </w:tabs>
              <w:contextualSpacing/>
              <w:jc w:val="right"/>
              <w:rPr>
                <w:rFonts w:cstheme="minorHAnsi"/>
                <w:sz w:val="22"/>
                <w:szCs w:val="22"/>
                <w:lang w:val="en-GB"/>
              </w:rPr>
            </w:pPr>
            <w:r w:rsidRPr="007F5ECF">
              <w:rPr>
                <w:rFonts w:cstheme="minorHAnsi"/>
                <w:sz w:val="22"/>
                <w:szCs w:val="22"/>
                <w:lang w:val="en-GB"/>
              </w:rPr>
              <w:t>[</w:t>
            </w:r>
            <w:r w:rsidRPr="007F5ECF">
              <w:rPr>
                <w:rFonts w:cstheme="minorHAnsi"/>
                <w:sz w:val="22"/>
                <w:szCs w:val="22"/>
                <w:highlight w:val="yellow"/>
                <w:lang w:val="en-GB"/>
              </w:rPr>
              <w:t>currency + amount</w:t>
            </w:r>
            <w:r w:rsidRPr="007F5ECF">
              <w:rPr>
                <w:rFonts w:cstheme="minorHAnsi"/>
                <w:sz w:val="22"/>
                <w:szCs w:val="22"/>
                <w:lang w:val="en-GB"/>
              </w:rPr>
              <w:t>]</w:t>
            </w:r>
          </w:p>
        </w:tc>
      </w:tr>
      <w:tr w:rsidR="00EC45B1" w:rsidRPr="007F5ECF" w14:paraId="5E0D58C0" w14:textId="77777777">
        <w:tc>
          <w:tcPr>
            <w:tcW w:w="4105" w:type="dxa"/>
            <w:tcBorders>
              <w:top w:val="single" w:sz="4" w:space="0" w:color="000000"/>
              <w:bottom w:val="single" w:sz="4" w:space="0" w:color="000000"/>
              <w:right w:val="single" w:sz="4" w:space="0" w:color="000000"/>
            </w:tcBorders>
          </w:tcPr>
          <w:p w14:paraId="3601B8BF" w14:textId="77777777" w:rsidR="00EC45B1" w:rsidRPr="007F5ECF" w:rsidRDefault="00000000">
            <w:pPr>
              <w:pStyle w:val="Footer"/>
              <w:widowControl w:val="0"/>
              <w:tabs>
                <w:tab w:val="left" w:pos="0"/>
                <w:tab w:val="left" w:pos="5812"/>
              </w:tabs>
              <w:contextualSpacing/>
              <w:rPr>
                <w:rFonts w:cstheme="minorHAnsi"/>
                <w:b/>
                <w:sz w:val="22"/>
                <w:szCs w:val="22"/>
                <w:lang w:val="en-GB"/>
              </w:rPr>
            </w:pPr>
            <w:r w:rsidRPr="007F5ECF">
              <w:rPr>
                <w:rFonts w:cstheme="minorHAnsi"/>
                <w:b/>
                <w:sz w:val="22"/>
                <w:szCs w:val="22"/>
                <w:lang w:val="en-GB"/>
              </w:rPr>
              <w:t>[</w:t>
            </w:r>
            <w:r w:rsidRPr="007F5ECF">
              <w:rPr>
                <w:rFonts w:cstheme="minorHAnsi"/>
                <w:b/>
                <w:sz w:val="22"/>
                <w:szCs w:val="22"/>
                <w:highlight w:val="yellow"/>
                <w:lang w:val="en-GB"/>
              </w:rPr>
              <w:t>Partner’s name</w:t>
            </w:r>
            <w:r w:rsidRPr="007F5ECF">
              <w:rPr>
                <w:rFonts w:cstheme="minorHAnsi"/>
                <w:b/>
                <w:sz w:val="22"/>
                <w:szCs w:val="22"/>
                <w:lang w:val="en-GB"/>
              </w:rPr>
              <w:t>]</w:t>
            </w:r>
            <w:r w:rsidRPr="007F5ECF">
              <w:rPr>
                <w:rFonts w:cstheme="minorHAnsi"/>
                <w:sz w:val="22"/>
                <w:szCs w:val="22"/>
                <w:lang w:val="en-GB"/>
              </w:rPr>
              <w:t xml:space="preserve"> abovenamed</w:t>
            </w:r>
          </w:p>
        </w:tc>
        <w:tc>
          <w:tcPr>
            <w:tcW w:w="2825" w:type="dxa"/>
            <w:tcBorders>
              <w:top w:val="single" w:sz="4" w:space="0" w:color="000000"/>
              <w:left w:val="single" w:sz="4" w:space="0" w:color="000000"/>
              <w:bottom w:val="single" w:sz="4" w:space="0" w:color="000000"/>
              <w:right w:val="single" w:sz="4" w:space="0" w:color="000000"/>
            </w:tcBorders>
          </w:tcPr>
          <w:p w14:paraId="7B195485" w14:textId="77777777" w:rsidR="00EC45B1" w:rsidRPr="007F5ECF" w:rsidRDefault="00000000">
            <w:pPr>
              <w:pStyle w:val="Footer"/>
              <w:widowControl w:val="0"/>
              <w:tabs>
                <w:tab w:val="left" w:pos="142"/>
                <w:tab w:val="left" w:pos="5812"/>
              </w:tabs>
              <w:contextualSpacing/>
              <w:jc w:val="right"/>
              <w:rPr>
                <w:rFonts w:cstheme="minorHAnsi"/>
                <w:sz w:val="22"/>
                <w:szCs w:val="22"/>
                <w:lang w:val="en-GB"/>
              </w:rPr>
            </w:pPr>
            <w:r w:rsidRPr="007F5ECF">
              <w:rPr>
                <w:rFonts w:cstheme="minorHAnsi"/>
                <w:sz w:val="22"/>
                <w:szCs w:val="22"/>
                <w:lang w:val="en-GB"/>
              </w:rPr>
              <w:t>[</w:t>
            </w:r>
            <w:r w:rsidRPr="007F5ECF">
              <w:rPr>
                <w:rFonts w:cstheme="minorHAnsi"/>
                <w:sz w:val="22"/>
                <w:szCs w:val="22"/>
                <w:highlight w:val="yellow"/>
                <w:lang w:val="en-GB"/>
              </w:rPr>
              <w:t>quantity</w:t>
            </w:r>
            <w:r w:rsidRPr="007F5ECF">
              <w:rPr>
                <w:rFonts w:cstheme="minorHAnsi"/>
                <w:sz w:val="22"/>
                <w:szCs w:val="22"/>
                <w:lang w:val="en-GB"/>
              </w:rPr>
              <w:t>]</w:t>
            </w:r>
          </w:p>
        </w:tc>
        <w:tc>
          <w:tcPr>
            <w:tcW w:w="2718" w:type="dxa"/>
            <w:tcBorders>
              <w:top w:val="single" w:sz="4" w:space="0" w:color="000000"/>
              <w:left w:val="single" w:sz="4" w:space="0" w:color="000000"/>
              <w:bottom w:val="single" w:sz="4" w:space="0" w:color="000000"/>
            </w:tcBorders>
          </w:tcPr>
          <w:p w14:paraId="15CC6A0E" w14:textId="77777777" w:rsidR="00EC45B1" w:rsidRPr="007F5ECF" w:rsidRDefault="00000000">
            <w:pPr>
              <w:pStyle w:val="Footer"/>
              <w:widowControl w:val="0"/>
              <w:tabs>
                <w:tab w:val="left" w:pos="142"/>
                <w:tab w:val="left" w:pos="5812"/>
              </w:tabs>
              <w:contextualSpacing/>
              <w:jc w:val="right"/>
              <w:rPr>
                <w:rFonts w:cstheme="minorHAnsi"/>
                <w:sz w:val="22"/>
                <w:szCs w:val="22"/>
                <w:lang w:val="en-GB"/>
              </w:rPr>
            </w:pPr>
            <w:r w:rsidRPr="007F5ECF">
              <w:rPr>
                <w:rFonts w:cstheme="minorHAnsi"/>
                <w:sz w:val="22"/>
                <w:szCs w:val="22"/>
                <w:lang w:val="en-GB"/>
              </w:rPr>
              <w:t>[</w:t>
            </w:r>
            <w:r w:rsidRPr="007F5ECF">
              <w:rPr>
                <w:rFonts w:cstheme="minorHAnsi"/>
                <w:sz w:val="22"/>
                <w:szCs w:val="22"/>
                <w:highlight w:val="yellow"/>
                <w:lang w:val="en-GB"/>
              </w:rPr>
              <w:t>currency + amount</w:t>
            </w:r>
            <w:r w:rsidRPr="007F5ECF">
              <w:rPr>
                <w:rFonts w:cstheme="minorHAnsi"/>
                <w:sz w:val="22"/>
                <w:szCs w:val="22"/>
                <w:lang w:val="en-GB"/>
              </w:rPr>
              <w:t>]</w:t>
            </w:r>
          </w:p>
        </w:tc>
      </w:tr>
      <w:tr w:rsidR="00EC45B1" w:rsidRPr="007F5ECF" w14:paraId="633FCC71" w14:textId="77777777">
        <w:tc>
          <w:tcPr>
            <w:tcW w:w="4105" w:type="dxa"/>
            <w:tcBorders>
              <w:top w:val="single" w:sz="4" w:space="0" w:color="000000"/>
              <w:right w:val="single" w:sz="4" w:space="0" w:color="000000"/>
            </w:tcBorders>
          </w:tcPr>
          <w:p w14:paraId="4112AA65" w14:textId="77777777" w:rsidR="00EC45B1" w:rsidRPr="007F5ECF" w:rsidRDefault="00000000">
            <w:pPr>
              <w:pStyle w:val="Footer"/>
              <w:widowControl w:val="0"/>
              <w:tabs>
                <w:tab w:val="left" w:pos="142"/>
                <w:tab w:val="left" w:pos="5812"/>
              </w:tabs>
              <w:contextualSpacing/>
              <w:rPr>
                <w:rFonts w:cstheme="minorHAnsi"/>
                <w:b/>
                <w:sz w:val="22"/>
                <w:szCs w:val="22"/>
                <w:u w:val="single"/>
                <w:lang w:val="en-GB"/>
              </w:rPr>
            </w:pPr>
            <w:r w:rsidRPr="007F5ECF">
              <w:rPr>
                <w:rFonts w:cstheme="minorHAnsi"/>
                <w:b/>
                <w:sz w:val="22"/>
                <w:szCs w:val="22"/>
                <w:u w:val="single"/>
                <w:lang w:val="en-GB"/>
              </w:rPr>
              <w:t>Total</w:t>
            </w:r>
          </w:p>
        </w:tc>
        <w:tc>
          <w:tcPr>
            <w:tcW w:w="2825" w:type="dxa"/>
            <w:tcBorders>
              <w:top w:val="single" w:sz="4" w:space="0" w:color="000000"/>
              <w:left w:val="single" w:sz="4" w:space="0" w:color="000000"/>
              <w:right w:val="single" w:sz="4" w:space="0" w:color="000000"/>
            </w:tcBorders>
          </w:tcPr>
          <w:p w14:paraId="041FCD12" w14:textId="77777777" w:rsidR="00EC45B1" w:rsidRPr="007F5ECF" w:rsidRDefault="00000000">
            <w:pPr>
              <w:pStyle w:val="Footer"/>
              <w:widowControl w:val="0"/>
              <w:tabs>
                <w:tab w:val="left" w:pos="142"/>
                <w:tab w:val="left" w:pos="5812"/>
              </w:tabs>
              <w:contextualSpacing/>
              <w:jc w:val="right"/>
              <w:rPr>
                <w:rFonts w:cstheme="minorHAnsi"/>
                <w:b/>
                <w:sz w:val="22"/>
                <w:szCs w:val="22"/>
                <w:u w:val="single"/>
                <w:lang w:val="en-GB"/>
              </w:rPr>
            </w:pPr>
            <w:r w:rsidRPr="007F5ECF">
              <w:rPr>
                <w:rFonts w:cstheme="minorHAnsi"/>
                <w:b/>
                <w:sz w:val="22"/>
                <w:szCs w:val="22"/>
                <w:u w:val="single"/>
                <w:lang w:val="en-GB"/>
              </w:rPr>
              <w:t xml:space="preserve"> [</w:t>
            </w:r>
            <w:r w:rsidRPr="007F5ECF">
              <w:rPr>
                <w:rFonts w:cstheme="minorHAnsi"/>
                <w:b/>
                <w:sz w:val="22"/>
                <w:szCs w:val="22"/>
                <w:highlight w:val="yellow"/>
                <w:u w:val="single"/>
                <w:lang w:val="en-GB"/>
              </w:rPr>
              <w:t>sum</w:t>
            </w:r>
            <w:r w:rsidRPr="007F5ECF">
              <w:rPr>
                <w:rFonts w:cstheme="minorHAnsi"/>
                <w:b/>
                <w:sz w:val="22"/>
                <w:szCs w:val="22"/>
                <w:u w:val="single"/>
                <w:lang w:val="en-GB"/>
              </w:rPr>
              <w:t>]</w:t>
            </w:r>
          </w:p>
        </w:tc>
        <w:tc>
          <w:tcPr>
            <w:tcW w:w="2718" w:type="dxa"/>
            <w:tcBorders>
              <w:top w:val="single" w:sz="4" w:space="0" w:color="000000"/>
              <w:left w:val="single" w:sz="4" w:space="0" w:color="000000"/>
            </w:tcBorders>
          </w:tcPr>
          <w:p w14:paraId="530ADFFD" w14:textId="77777777" w:rsidR="00EC45B1" w:rsidRPr="007F5ECF" w:rsidRDefault="00000000">
            <w:pPr>
              <w:pStyle w:val="Footer"/>
              <w:widowControl w:val="0"/>
              <w:tabs>
                <w:tab w:val="left" w:pos="142"/>
                <w:tab w:val="left" w:pos="5812"/>
              </w:tabs>
              <w:contextualSpacing/>
              <w:jc w:val="right"/>
              <w:rPr>
                <w:rFonts w:cstheme="minorHAnsi"/>
                <w:b/>
                <w:sz w:val="22"/>
                <w:szCs w:val="22"/>
                <w:u w:val="single"/>
                <w:lang w:val="en-GB"/>
              </w:rPr>
            </w:pPr>
            <w:r w:rsidRPr="007F5ECF">
              <w:rPr>
                <w:rFonts w:cstheme="minorHAnsi"/>
                <w:bCs/>
                <w:i/>
                <w:iCs/>
                <w:sz w:val="22"/>
                <w:szCs w:val="22"/>
                <w:highlight w:val="cyan"/>
                <w:u w:val="single"/>
                <w:lang w:val="en-GB"/>
              </w:rPr>
              <w:t>(minimum EUR 12,000)</w:t>
            </w:r>
            <w:r w:rsidRPr="007F5ECF">
              <w:rPr>
                <w:rFonts w:cstheme="minorHAnsi"/>
                <w:b/>
                <w:sz w:val="22"/>
                <w:szCs w:val="22"/>
                <w:u w:val="single"/>
                <w:lang w:val="en-GB"/>
              </w:rPr>
              <w:t xml:space="preserve"> [</w:t>
            </w:r>
            <w:r w:rsidRPr="007F5ECF">
              <w:rPr>
                <w:rFonts w:cstheme="minorHAnsi"/>
                <w:b/>
                <w:sz w:val="22"/>
                <w:szCs w:val="22"/>
                <w:highlight w:val="yellow"/>
                <w:u w:val="single"/>
                <w:lang w:val="en-GB"/>
              </w:rPr>
              <w:t>sum</w:t>
            </w:r>
            <w:r w:rsidRPr="007F5ECF">
              <w:rPr>
                <w:rFonts w:cstheme="minorHAnsi"/>
                <w:b/>
                <w:sz w:val="22"/>
                <w:szCs w:val="22"/>
                <w:u w:val="single"/>
                <w:lang w:val="en-GB"/>
              </w:rPr>
              <w:t>]</w:t>
            </w:r>
          </w:p>
        </w:tc>
      </w:tr>
    </w:tbl>
    <w:p w14:paraId="2192FB98" w14:textId="77777777" w:rsidR="00EC45B1" w:rsidRPr="007F5ECF" w:rsidRDefault="00EC45B1">
      <w:pPr>
        <w:widowControl w:val="0"/>
        <w:contextualSpacing/>
        <w:jc w:val="both"/>
        <w:rPr>
          <w:rFonts w:cstheme="minorHAnsi"/>
          <w:sz w:val="22"/>
          <w:szCs w:val="22"/>
          <w:u w:val="single"/>
          <w:lang w:val="en-GB"/>
        </w:rPr>
      </w:pPr>
    </w:p>
    <w:p w14:paraId="1ECAC951" w14:textId="77777777" w:rsidR="00EC45B1" w:rsidRPr="007F5ECF" w:rsidRDefault="00000000">
      <w:pPr>
        <w:widowControl w:val="0"/>
        <w:contextualSpacing/>
        <w:jc w:val="both"/>
        <w:rPr>
          <w:sz w:val="22"/>
          <w:szCs w:val="22"/>
        </w:rPr>
      </w:pPr>
      <w:r w:rsidRPr="007F5ECF">
        <w:rPr>
          <w:rStyle w:val="Heading20"/>
          <w:rFonts w:cstheme="minorHAnsi"/>
          <w:sz w:val="22"/>
          <w:szCs w:val="22"/>
          <w:u w:val="none"/>
          <w:lang w:val="en-GB"/>
        </w:rPr>
        <w:t>The amount of [</w:t>
      </w:r>
      <w:r w:rsidRPr="007F5ECF">
        <w:rPr>
          <w:rStyle w:val="Heading20"/>
          <w:rFonts w:cstheme="minorHAnsi"/>
          <w:sz w:val="22"/>
          <w:szCs w:val="22"/>
          <w:u w:val="none"/>
          <w:shd w:val="clear" w:color="auto" w:fill="FFFF00"/>
          <w:lang w:val="en-GB"/>
        </w:rPr>
        <w:t>currency + amount</w:t>
      </w:r>
      <w:r w:rsidRPr="007F5ECF">
        <w:rPr>
          <w:rStyle w:val="Heading20"/>
          <w:rFonts w:cstheme="minorHAnsi"/>
          <w:sz w:val="22"/>
          <w:szCs w:val="22"/>
          <w:u w:val="none"/>
          <w:lang w:val="en-GB"/>
        </w:rPr>
        <w:t>] has been fully paid in cash and is now at the free disposal of the Company, as it has been documented to the notary.</w:t>
      </w:r>
    </w:p>
    <w:p w14:paraId="6499ECC2" w14:textId="77777777" w:rsidR="00EC45B1" w:rsidRPr="007F5ECF" w:rsidRDefault="00000000">
      <w:pPr>
        <w:pStyle w:val="AoALevel1ABC"/>
        <w:widowControl w:val="0"/>
        <w:numPr>
          <w:ilvl w:val="0"/>
          <w:numId w:val="0"/>
        </w:numPr>
        <w:pBdr>
          <w:bottom w:val="single" w:sz="6" w:space="4" w:color="1F4E5F"/>
        </w:pBdr>
        <w:tabs>
          <w:tab w:val="clear" w:pos="680"/>
          <w:tab w:val="left" w:pos="426"/>
        </w:tabs>
        <w:spacing w:before="360" w:after="0"/>
        <w:contextualSpacing/>
      </w:pPr>
      <w:r w:rsidRPr="007F5ECF">
        <w:rPr>
          <w:rStyle w:val="Heading20"/>
          <w:b w:val="0"/>
          <w:bCs w:val="0"/>
          <w:i/>
          <w:iCs/>
          <w:caps w:val="0"/>
          <w:sz w:val="22"/>
          <w:szCs w:val="22"/>
          <w:highlight w:val="cyan"/>
          <w:u w:val="none"/>
        </w:rPr>
        <w:lastRenderedPageBreak/>
        <w:t xml:space="preserve">Provision in case the capital </w:t>
      </w:r>
      <w:proofErr w:type="gramStart"/>
      <w:r w:rsidRPr="007F5ECF">
        <w:rPr>
          <w:rStyle w:val="Heading20"/>
          <w:b w:val="0"/>
          <w:bCs w:val="0"/>
          <w:i/>
          <w:iCs/>
          <w:caps w:val="0"/>
          <w:sz w:val="22"/>
          <w:szCs w:val="22"/>
          <w:highlight w:val="cyan"/>
          <w:u w:val="none"/>
        </w:rPr>
        <w:t>will be</w:t>
      </w:r>
      <w:proofErr w:type="gramEnd"/>
      <w:r w:rsidRPr="007F5ECF">
        <w:rPr>
          <w:rStyle w:val="Heading20"/>
          <w:b w:val="0"/>
          <w:bCs w:val="0"/>
          <w:i/>
          <w:iCs/>
          <w:caps w:val="0"/>
          <w:sz w:val="22"/>
          <w:szCs w:val="22"/>
          <w:highlight w:val="cyan"/>
          <w:u w:val="none"/>
        </w:rPr>
        <w:t xml:space="preserve"> paid up within 12 months following the date of incorporation</w:t>
      </w:r>
      <w:r w:rsidRPr="007F5ECF">
        <w:rPr>
          <w:rStyle w:val="FootnoteReference"/>
          <w:b w:val="0"/>
          <w:bCs w:val="0"/>
          <w:i/>
          <w:iCs/>
          <w:caps w:val="0"/>
          <w:highlight w:val="cyan"/>
          <w:u w:val="none"/>
        </w:rPr>
        <w:footnoteReference w:id="9"/>
      </w:r>
      <w:r w:rsidRPr="007F5ECF">
        <w:rPr>
          <w:rStyle w:val="Heading20"/>
          <w:b w:val="0"/>
          <w:bCs w:val="0"/>
          <w:i/>
          <w:iCs/>
          <w:caps w:val="0"/>
          <w:sz w:val="22"/>
          <w:szCs w:val="22"/>
          <w:highlight w:val="cyan"/>
          <w:u w:val="none"/>
        </w:rPr>
        <w:t>:</w:t>
      </w:r>
    </w:p>
    <w:p w14:paraId="001CC17F" w14:textId="77777777" w:rsidR="00EC45B1" w:rsidRPr="007F5ECF" w:rsidRDefault="00000000">
      <w:pPr>
        <w:widowControl w:val="0"/>
        <w:contextualSpacing/>
        <w:jc w:val="both"/>
        <w:rPr>
          <w:sz w:val="22"/>
          <w:szCs w:val="22"/>
        </w:rPr>
      </w:pPr>
      <w:r w:rsidRPr="007F5ECF">
        <w:rPr>
          <w:sz w:val="22"/>
          <w:szCs w:val="22"/>
        </w:rPr>
        <w:t>The articles of association of the Company having been thus adopted, all the shares have been subscribed as follows (the " </w:t>
      </w:r>
      <w:r w:rsidRPr="007F5ECF">
        <w:rPr>
          <w:b/>
          <w:sz w:val="22"/>
          <w:szCs w:val="22"/>
        </w:rPr>
        <w:t>Partners</w:t>
      </w:r>
      <w:r w:rsidRPr="007F5ECF">
        <w:rPr>
          <w:sz w:val="22"/>
          <w:szCs w:val="22"/>
        </w:rPr>
        <w:t>"):</w:t>
      </w:r>
    </w:p>
    <w:p w14:paraId="6A37D1A4" w14:textId="77777777" w:rsidR="00EC45B1" w:rsidRPr="007F5ECF" w:rsidRDefault="00EC45B1">
      <w:pPr>
        <w:widowControl w:val="0"/>
        <w:contextualSpacing/>
        <w:jc w:val="both"/>
        <w:rPr>
          <w:rFonts w:cstheme="minorHAnsi"/>
          <w:sz w:val="22"/>
          <w:szCs w:val="22"/>
          <w:lang w:val="en-GB"/>
        </w:rPr>
      </w:pPr>
    </w:p>
    <w:tbl>
      <w:tblPr>
        <w:tblW w:w="7135" w:type="dxa"/>
        <w:tblInd w:w="108" w:type="dxa"/>
        <w:tblLayout w:type="fixed"/>
        <w:tblLook w:val="0000" w:firstRow="0" w:lastRow="0" w:firstColumn="0" w:lastColumn="0" w:noHBand="0" w:noVBand="0"/>
      </w:tblPr>
      <w:tblGrid>
        <w:gridCol w:w="4588"/>
        <w:gridCol w:w="2547"/>
      </w:tblGrid>
      <w:tr w:rsidR="00EC45B1" w:rsidRPr="007F5ECF" w14:paraId="3F54E2FB" w14:textId="77777777">
        <w:tc>
          <w:tcPr>
            <w:tcW w:w="4587" w:type="dxa"/>
            <w:tcBorders>
              <w:bottom w:val="single" w:sz="4" w:space="0" w:color="000000"/>
              <w:right w:val="single" w:sz="4" w:space="0" w:color="000000"/>
            </w:tcBorders>
          </w:tcPr>
          <w:p w14:paraId="7A727CBC" w14:textId="77777777" w:rsidR="00EC45B1" w:rsidRPr="007F5ECF" w:rsidRDefault="00000000">
            <w:pPr>
              <w:pStyle w:val="Footer"/>
              <w:widowControl w:val="0"/>
              <w:tabs>
                <w:tab w:val="left" w:pos="142"/>
                <w:tab w:val="center" w:pos="2568"/>
              </w:tabs>
              <w:contextualSpacing/>
              <w:rPr>
                <w:rFonts w:cstheme="minorHAnsi"/>
                <w:sz w:val="22"/>
                <w:szCs w:val="22"/>
                <w:lang w:val="en-GB"/>
              </w:rPr>
            </w:pPr>
            <w:r w:rsidRPr="007F5ECF">
              <w:rPr>
                <w:rFonts w:cstheme="minorHAnsi"/>
                <w:sz w:val="22"/>
                <w:szCs w:val="22"/>
                <w:lang w:val="en-GB"/>
              </w:rPr>
              <w:t>Subscriber</w:t>
            </w:r>
          </w:p>
        </w:tc>
        <w:tc>
          <w:tcPr>
            <w:tcW w:w="2547" w:type="dxa"/>
            <w:tcBorders>
              <w:left w:val="single" w:sz="4" w:space="0" w:color="000000"/>
              <w:bottom w:val="single" w:sz="4" w:space="0" w:color="000000"/>
              <w:right w:val="single" w:sz="4" w:space="0" w:color="000000"/>
            </w:tcBorders>
          </w:tcPr>
          <w:p w14:paraId="15281FB3" w14:textId="77777777" w:rsidR="00EC45B1" w:rsidRPr="007F5ECF" w:rsidRDefault="00000000">
            <w:pPr>
              <w:pStyle w:val="Footer"/>
              <w:widowControl w:val="0"/>
              <w:tabs>
                <w:tab w:val="left" w:pos="142"/>
                <w:tab w:val="left" w:pos="5812"/>
              </w:tabs>
              <w:contextualSpacing/>
              <w:jc w:val="right"/>
              <w:rPr>
                <w:rFonts w:cstheme="minorHAnsi"/>
                <w:sz w:val="22"/>
                <w:szCs w:val="22"/>
                <w:lang w:val="en-GB"/>
              </w:rPr>
            </w:pPr>
            <w:r w:rsidRPr="007F5ECF">
              <w:rPr>
                <w:rFonts w:cstheme="minorHAnsi"/>
                <w:sz w:val="22"/>
                <w:szCs w:val="22"/>
                <w:lang w:val="en-GB"/>
              </w:rPr>
              <w:t>Shares</w:t>
            </w:r>
          </w:p>
        </w:tc>
      </w:tr>
      <w:tr w:rsidR="00EC45B1" w:rsidRPr="007F5ECF" w14:paraId="52EF780F" w14:textId="77777777">
        <w:tc>
          <w:tcPr>
            <w:tcW w:w="4587" w:type="dxa"/>
            <w:tcBorders>
              <w:top w:val="single" w:sz="4" w:space="0" w:color="000000"/>
              <w:bottom w:val="single" w:sz="4" w:space="0" w:color="000000"/>
              <w:right w:val="single" w:sz="4" w:space="0" w:color="000000"/>
            </w:tcBorders>
          </w:tcPr>
          <w:p w14:paraId="36947F91" w14:textId="77777777" w:rsidR="00EC45B1" w:rsidRPr="007F5ECF" w:rsidRDefault="00000000">
            <w:pPr>
              <w:pStyle w:val="Footer"/>
              <w:widowControl w:val="0"/>
              <w:tabs>
                <w:tab w:val="left" w:pos="0"/>
                <w:tab w:val="left" w:pos="5812"/>
              </w:tabs>
              <w:contextualSpacing/>
              <w:rPr>
                <w:rFonts w:cstheme="minorHAnsi"/>
                <w:sz w:val="22"/>
                <w:szCs w:val="22"/>
                <w:lang w:val="en-GB"/>
              </w:rPr>
            </w:pPr>
            <w:r w:rsidRPr="007F5ECF">
              <w:rPr>
                <w:rFonts w:cstheme="minorHAnsi"/>
                <w:b/>
                <w:sz w:val="22"/>
                <w:szCs w:val="22"/>
                <w:lang w:val="en-GB"/>
              </w:rPr>
              <w:t>[</w:t>
            </w:r>
            <w:r w:rsidRPr="007F5ECF">
              <w:rPr>
                <w:rFonts w:cstheme="minorHAnsi"/>
                <w:b/>
                <w:sz w:val="22"/>
                <w:szCs w:val="22"/>
                <w:highlight w:val="yellow"/>
                <w:lang w:val="en-GB"/>
              </w:rPr>
              <w:t>Partner’s name</w:t>
            </w:r>
            <w:r w:rsidRPr="007F5ECF">
              <w:rPr>
                <w:rFonts w:cstheme="minorHAnsi"/>
                <w:b/>
                <w:sz w:val="22"/>
                <w:szCs w:val="22"/>
                <w:lang w:val="en-GB"/>
              </w:rPr>
              <w:t>]</w:t>
            </w:r>
            <w:r w:rsidRPr="007F5ECF">
              <w:rPr>
                <w:rFonts w:cstheme="minorHAnsi"/>
                <w:sz w:val="22"/>
                <w:szCs w:val="22"/>
                <w:lang w:val="en-GB"/>
              </w:rPr>
              <w:t xml:space="preserve"> abovenamed</w:t>
            </w:r>
          </w:p>
        </w:tc>
        <w:tc>
          <w:tcPr>
            <w:tcW w:w="2547" w:type="dxa"/>
            <w:tcBorders>
              <w:top w:val="single" w:sz="4" w:space="0" w:color="000000"/>
              <w:left w:val="single" w:sz="4" w:space="0" w:color="000000"/>
              <w:bottom w:val="single" w:sz="4" w:space="0" w:color="000000"/>
              <w:right w:val="single" w:sz="4" w:space="0" w:color="000000"/>
            </w:tcBorders>
          </w:tcPr>
          <w:p w14:paraId="79EEA2FB" w14:textId="77777777" w:rsidR="00EC45B1" w:rsidRPr="007F5ECF" w:rsidRDefault="00000000">
            <w:pPr>
              <w:pStyle w:val="Footer"/>
              <w:widowControl w:val="0"/>
              <w:tabs>
                <w:tab w:val="left" w:pos="142"/>
                <w:tab w:val="left" w:pos="5812"/>
              </w:tabs>
              <w:contextualSpacing/>
              <w:jc w:val="right"/>
              <w:rPr>
                <w:rFonts w:cstheme="minorHAnsi"/>
                <w:sz w:val="22"/>
                <w:szCs w:val="22"/>
                <w:lang w:val="en-GB"/>
              </w:rPr>
            </w:pPr>
            <w:r w:rsidRPr="007F5ECF">
              <w:rPr>
                <w:rFonts w:cstheme="minorHAnsi"/>
                <w:sz w:val="22"/>
                <w:szCs w:val="22"/>
                <w:lang w:val="en-GB"/>
              </w:rPr>
              <w:t>[</w:t>
            </w:r>
            <w:r w:rsidRPr="007F5ECF">
              <w:rPr>
                <w:rFonts w:cstheme="minorHAnsi"/>
                <w:sz w:val="22"/>
                <w:szCs w:val="22"/>
                <w:highlight w:val="yellow"/>
                <w:lang w:val="en-GB"/>
              </w:rPr>
              <w:t>quantity</w:t>
            </w:r>
            <w:r w:rsidRPr="007F5ECF">
              <w:rPr>
                <w:rFonts w:cstheme="minorHAnsi"/>
                <w:sz w:val="22"/>
                <w:szCs w:val="22"/>
                <w:lang w:val="en-GB"/>
              </w:rPr>
              <w:t>]</w:t>
            </w:r>
          </w:p>
        </w:tc>
      </w:tr>
      <w:tr w:rsidR="00EC45B1" w:rsidRPr="007F5ECF" w14:paraId="3267BA5C" w14:textId="77777777">
        <w:tc>
          <w:tcPr>
            <w:tcW w:w="4587" w:type="dxa"/>
            <w:tcBorders>
              <w:top w:val="single" w:sz="4" w:space="0" w:color="000000"/>
              <w:bottom w:val="single" w:sz="4" w:space="0" w:color="000000"/>
              <w:right w:val="single" w:sz="4" w:space="0" w:color="000000"/>
            </w:tcBorders>
          </w:tcPr>
          <w:p w14:paraId="47DDC179" w14:textId="77777777" w:rsidR="00EC45B1" w:rsidRPr="007F5ECF" w:rsidRDefault="00000000">
            <w:pPr>
              <w:pStyle w:val="Footer"/>
              <w:widowControl w:val="0"/>
              <w:tabs>
                <w:tab w:val="left" w:pos="0"/>
                <w:tab w:val="left" w:pos="5812"/>
              </w:tabs>
              <w:contextualSpacing/>
              <w:rPr>
                <w:rFonts w:cstheme="minorHAnsi"/>
                <w:b/>
                <w:sz w:val="22"/>
                <w:szCs w:val="22"/>
                <w:lang w:val="en-GB"/>
              </w:rPr>
            </w:pPr>
            <w:r w:rsidRPr="007F5ECF">
              <w:rPr>
                <w:rFonts w:cstheme="minorHAnsi"/>
                <w:b/>
                <w:sz w:val="22"/>
                <w:szCs w:val="22"/>
                <w:lang w:val="en-GB"/>
              </w:rPr>
              <w:t>[</w:t>
            </w:r>
            <w:r w:rsidRPr="007F5ECF">
              <w:rPr>
                <w:rFonts w:cstheme="minorHAnsi"/>
                <w:b/>
                <w:sz w:val="22"/>
                <w:szCs w:val="22"/>
                <w:highlight w:val="yellow"/>
                <w:lang w:val="en-GB"/>
              </w:rPr>
              <w:t>Partner’s name</w:t>
            </w:r>
            <w:r w:rsidRPr="007F5ECF">
              <w:rPr>
                <w:rFonts w:cstheme="minorHAnsi"/>
                <w:b/>
                <w:sz w:val="22"/>
                <w:szCs w:val="22"/>
                <w:lang w:val="en-GB"/>
              </w:rPr>
              <w:t>]</w:t>
            </w:r>
            <w:r w:rsidRPr="007F5ECF">
              <w:rPr>
                <w:rFonts w:cstheme="minorHAnsi"/>
                <w:sz w:val="22"/>
                <w:szCs w:val="22"/>
                <w:lang w:val="en-GB"/>
              </w:rPr>
              <w:t xml:space="preserve"> abovenamed</w:t>
            </w:r>
          </w:p>
        </w:tc>
        <w:tc>
          <w:tcPr>
            <w:tcW w:w="2547" w:type="dxa"/>
            <w:tcBorders>
              <w:top w:val="single" w:sz="4" w:space="0" w:color="000000"/>
              <w:left w:val="single" w:sz="4" w:space="0" w:color="000000"/>
              <w:bottom w:val="single" w:sz="4" w:space="0" w:color="000000"/>
              <w:right w:val="single" w:sz="4" w:space="0" w:color="000000"/>
            </w:tcBorders>
          </w:tcPr>
          <w:p w14:paraId="2154199F" w14:textId="77777777" w:rsidR="00EC45B1" w:rsidRPr="007F5ECF" w:rsidRDefault="00000000">
            <w:pPr>
              <w:pStyle w:val="Footer"/>
              <w:widowControl w:val="0"/>
              <w:tabs>
                <w:tab w:val="left" w:pos="142"/>
                <w:tab w:val="left" w:pos="5812"/>
              </w:tabs>
              <w:contextualSpacing/>
              <w:jc w:val="right"/>
              <w:rPr>
                <w:rFonts w:cstheme="minorHAnsi"/>
                <w:sz w:val="22"/>
                <w:szCs w:val="22"/>
                <w:lang w:val="en-GB"/>
              </w:rPr>
            </w:pPr>
            <w:r w:rsidRPr="007F5ECF">
              <w:rPr>
                <w:rFonts w:cstheme="minorHAnsi"/>
                <w:sz w:val="22"/>
                <w:szCs w:val="22"/>
                <w:lang w:val="en-GB"/>
              </w:rPr>
              <w:t>[</w:t>
            </w:r>
            <w:r w:rsidRPr="007F5ECF">
              <w:rPr>
                <w:rFonts w:cstheme="minorHAnsi"/>
                <w:sz w:val="22"/>
                <w:szCs w:val="22"/>
                <w:highlight w:val="yellow"/>
                <w:lang w:val="en-GB"/>
              </w:rPr>
              <w:t>quantity</w:t>
            </w:r>
            <w:r w:rsidRPr="007F5ECF">
              <w:rPr>
                <w:rFonts w:cstheme="minorHAnsi"/>
                <w:sz w:val="22"/>
                <w:szCs w:val="22"/>
                <w:lang w:val="en-GB"/>
              </w:rPr>
              <w:t>]</w:t>
            </w:r>
          </w:p>
        </w:tc>
      </w:tr>
      <w:tr w:rsidR="00EC45B1" w:rsidRPr="007F5ECF" w14:paraId="145FE24E" w14:textId="77777777">
        <w:tc>
          <w:tcPr>
            <w:tcW w:w="4587" w:type="dxa"/>
            <w:tcBorders>
              <w:top w:val="single" w:sz="4" w:space="0" w:color="000000"/>
              <w:bottom w:val="single" w:sz="4" w:space="0" w:color="000000"/>
              <w:right w:val="single" w:sz="4" w:space="0" w:color="000000"/>
            </w:tcBorders>
          </w:tcPr>
          <w:p w14:paraId="50652DD8" w14:textId="77777777" w:rsidR="00EC45B1" w:rsidRPr="007F5ECF" w:rsidRDefault="00000000">
            <w:pPr>
              <w:pStyle w:val="Footer"/>
              <w:widowControl w:val="0"/>
              <w:tabs>
                <w:tab w:val="left" w:pos="0"/>
                <w:tab w:val="left" w:pos="5812"/>
              </w:tabs>
              <w:contextualSpacing/>
              <w:rPr>
                <w:rFonts w:cstheme="minorHAnsi"/>
                <w:b/>
                <w:sz w:val="22"/>
                <w:szCs w:val="22"/>
                <w:lang w:val="en-GB"/>
              </w:rPr>
            </w:pPr>
            <w:r w:rsidRPr="007F5ECF">
              <w:rPr>
                <w:rFonts w:cstheme="minorHAnsi"/>
                <w:b/>
                <w:sz w:val="22"/>
                <w:szCs w:val="22"/>
                <w:lang w:val="en-GB"/>
              </w:rPr>
              <w:t>[</w:t>
            </w:r>
            <w:r w:rsidRPr="007F5ECF">
              <w:rPr>
                <w:rFonts w:cstheme="minorHAnsi"/>
                <w:b/>
                <w:sz w:val="22"/>
                <w:szCs w:val="22"/>
                <w:highlight w:val="yellow"/>
                <w:lang w:val="en-GB"/>
              </w:rPr>
              <w:t>Partner’s name</w:t>
            </w:r>
            <w:r w:rsidRPr="007F5ECF">
              <w:rPr>
                <w:rFonts w:cstheme="minorHAnsi"/>
                <w:b/>
                <w:sz w:val="22"/>
                <w:szCs w:val="22"/>
                <w:lang w:val="en-GB"/>
              </w:rPr>
              <w:t>]</w:t>
            </w:r>
            <w:r w:rsidRPr="007F5ECF">
              <w:rPr>
                <w:rFonts w:cstheme="minorHAnsi"/>
                <w:sz w:val="22"/>
                <w:szCs w:val="22"/>
                <w:lang w:val="en-GB"/>
              </w:rPr>
              <w:t xml:space="preserve"> abovenamed</w:t>
            </w:r>
          </w:p>
        </w:tc>
        <w:tc>
          <w:tcPr>
            <w:tcW w:w="2547" w:type="dxa"/>
            <w:tcBorders>
              <w:top w:val="single" w:sz="4" w:space="0" w:color="000000"/>
              <w:left w:val="single" w:sz="4" w:space="0" w:color="000000"/>
              <w:bottom w:val="single" w:sz="4" w:space="0" w:color="000000"/>
              <w:right w:val="single" w:sz="4" w:space="0" w:color="000000"/>
            </w:tcBorders>
          </w:tcPr>
          <w:p w14:paraId="549C89D0" w14:textId="77777777" w:rsidR="00EC45B1" w:rsidRPr="007F5ECF" w:rsidRDefault="00000000">
            <w:pPr>
              <w:pStyle w:val="Footer"/>
              <w:widowControl w:val="0"/>
              <w:tabs>
                <w:tab w:val="left" w:pos="142"/>
                <w:tab w:val="left" w:pos="5812"/>
              </w:tabs>
              <w:contextualSpacing/>
              <w:jc w:val="right"/>
              <w:rPr>
                <w:rFonts w:cstheme="minorHAnsi"/>
                <w:sz w:val="22"/>
                <w:szCs w:val="22"/>
                <w:lang w:val="en-GB"/>
              </w:rPr>
            </w:pPr>
            <w:r w:rsidRPr="007F5ECF">
              <w:rPr>
                <w:rFonts w:cstheme="minorHAnsi"/>
                <w:sz w:val="22"/>
                <w:szCs w:val="22"/>
                <w:lang w:val="en-GB"/>
              </w:rPr>
              <w:t>[</w:t>
            </w:r>
            <w:r w:rsidRPr="007F5ECF">
              <w:rPr>
                <w:rFonts w:cstheme="minorHAnsi"/>
                <w:sz w:val="22"/>
                <w:szCs w:val="22"/>
                <w:highlight w:val="yellow"/>
                <w:lang w:val="en-GB"/>
              </w:rPr>
              <w:t>quantity</w:t>
            </w:r>
            <w:r w:rsidRPr="007F5ECF">
              <w:rPr>
                <w:rFonts w:cstheme="minorHAnsi"/>
                <w:sz w:val="22"/>
                <w:szCs w:val="22"/>
                <w:lang w:val="en-GB"/>
              </w:rPr>
              <w:t>]</w:t>
            </w:r>
          </w:p>
        </w:tc>
      </w:tr>
      <w:tr w:rsidR="00EC45B1" w:rsidRPr="007F5ECF" w14:paraId="5529984B" w14:textId="77777777">
        <w:tc>
          <w:tcPr>
            <w:tcW w:w="4587" w:type="dxa"/>
            <w:tcBorders>
              <w:top w:val="single" w:sz="4" w:space="0" w:color="000000"/>
              <w:right w:val="single" w:sz="4" w:space="0" w:color="000000"/>
            </w:tcBorders>
          </w:tcPr>
          <w:p w14:paraId="3D7999D6" w14:textId="77777777" w:rsidR="00EC45B1" w:rsidRPr="007F5ECF" w:rsidRDefault="00000000">
            <w:pPr>
              <w:pStyle w:val="Footer"/>
              <w:widowControl w:val="0"/>
              <w:tabs>
                <w:tab w:val="left" w:pos="142"/>
                <w:tab w:val="left" w:pos="5812"/>
              </w:tabs>
              <w:contextualSpacing/>
              <w:rPr>
                <w:rFonts w:cstheme="minorHAnsi"/>
                <w:b/>
                <w:sz w:val="22"/>
                <w:szCs w:val="22"/>
                <w:u w:val="single"/>
                <w:lang w:val="en-GB"/>
              </w:rPr>
            </w:pPr>
            <w:r w:rsidRPr="007F5ECF">
              <w:rPr>
                <w:rFonts w:cstheme="minorHAnsi"/>
                <w:b/>
                <w:sz w:val="22"/>
                <w:szCs w:val="22"/>
                <w:u w:val="single"/>
                <w:lang w:val="en-GB"/>
              </w:rPr>
              <w:t>Total</w:t>
            </w:r>
          </w:p>
        </w:tc>
        <w:tc>
          <w:tcPr>
            <w:tcW w:w="2547" w:type="dxa"/>
            <w:tcBorders>
              <w:top w:val="single" w:sz="4" w:space="0" w:color="000000"/>
              <w:left w:val="single" w:sz="4" w:space="0" w:color="000000"/>
              <w:right w:val="single" w:sz="4" w:space="0" w:color="000000"/>
            </w:tcBorders>
          </w:tcPr>
          <w:p w14:paraId="7D0F75DD" w14:textId="77777777" w:rsidR="00EC45B1" w:rsidRPr="007F5ECF" w:rsidRDefault="00000000">
            <w:pPr>
              <w:pStyle w:val="Footer"/>
              <w:widowControl w:val="0"/>
              <w:tabs>
                <w:tab w:val="left" w:pos="142"/>
                <w:tab w:val="left" w:pos="5812"/>
              </w:tabs>
              <w:contextualSpacing/>
              <w:jc w:val="right"/>
              <w:rPr>
                <w:rFonts w:cstheme="minorHAnsi"/>
                <w:b/>
                <w:sz w:val="22"/>
                <w:szCs w:val="22"/>
                <w:u w:val="single"/>
                <w:lang w:val="en-GB"/>
              </w:rPr>
            </w:pPr>
            <w:r w:rsidRPr="007F5ECF">
              <w:rPr>
                <w:rFonts w:cstheme="minorHAnsi"/>
                <w:b/>
                <w:sz w:val="22"/>
                <w:szCs w:val="22"/>
                <w:u w:val="single"/>
                <w:lang w:val="en-GB"/>
              </w:rPr>
              <w:t xml:space="preserve"> [</w:t>
            </w:r>
            <w:r w:rsidRPr="007F5ECF">
              <w:rPr>
                <w:rFonts w:cstheme="minorHAnsi"/>
                <w:b/>
                <w:sz w:val="22"/>
                <w:szCs w:val="22"/>
                <w:highlight w:val="yellow"/>
                <w:u w:val="single"/>
                <w:lang w:val="en-GB"/>
              </w:rPr>
              <w:t>sum</w:t>
            </w:r>
            <w:r w:rsidRPr="007F5ECF">
              <w:rPr>
                <w:rFonts w:cstheme="minorHAnsi"/>
                <w:b/>
                <w:sz w:val="22"/>
                <w:szCs w:val="22"/>
                <w:u w:val="single"/>
                <w:lang w:val="en-GB"/>
              </w:rPr>
              <w:t>]</w:t>
            </w:r>
          </w:p>
        </w:tc>
      </w:tr>
    </w:tbl>
    <w:p w14:paraId="37C45C93" w14:textId="77777777" w:rsidR="00EC45B1" w:rsidRPr="007F5ECF" w:rsidRDefault="00EC45B1">
      <w:pPr>
        <w:widowControl w:val="0"/>
        <w:contextualSpacing/>
        <w:jc w:val="both"/>
        <w:rPr>
          <w:rStyle w:val="Heading20"/>
          <w:sz w:val="22"/>
          <w:szCs w:val="22"/>
          <w:u w:val="none"/>
        </w:rPr>
      </w:pPr>
    </w:p>
    <w:p w14:paraId="03203964" w14:textId="77777777" w:rsidR="00EC45B1" w:rsidRPr="007F5ECF" w:rsidRDefault="00000000">
      <w:pPr>
        <w:widowControl w:val="0"/>
        <w:contextualSpacing/>
        <w:jc w:val="both"/>
        <w:rPr>
          <w:sz w:val="22"/>
          <w:szCs w:val="22"/>
        </w:rPr>
      </w:pPr>
      <w:r w:rsidRPr="007F5ECF">
        <w:rPr>
          <w:rStyle w:val="Heading20"/>
          <w:sz w:val="22"/>
          <w:szCs w:val="22"/>
          <w:u w:val="none"/>
        </w:rPr>
        <w:t xml:space="preserve">It is hereby expressly declared and recorded that the Company’s share capital has been fully </w:t>
      </w:r>
      <w:proofErr w:type="gramStart"/>
      <w:r w:rsidRPr="007F5ECF">
        <w:rPr>
          <w:rStyle w:val="Heading20"/>
          <w:sz w:val="22"/>
          <w:szCs w:val="22"/>
          <w:u w:val="none"/>
        </w:rPr>
        <w:t>subscribed</w:t>
      </w:r>
      <w:proofErr w:type="gramEnd"/>
      <w:r w:rsidRPr="007F5ECF">
        <w:rPr>
          <w:rStyle w:val="Heading20"/>
          <w:sz w:val="22"/>
          <w:szCs w:val="22"/>
          <w:u w:val="none"/>
        </w:rPr>
        <w:t xml:space="preserve"> by the </w:t>
      </w:r>
      <w:proofErr w:type="gramStart"/>
      <w:r w:rsidRPr="007F5ECF">
        <w:rPr>
          <w:rStyle w:val="Heading20"/>
          <w:sz w:val="22"/>
          <w:szCs w:val="22"/>
          <w:u w:val="none"/>
        </w:rPr>
        <w:t>aforementioned Partners</w:t>
      </w:r>
      <w:proofErr w:type="gramEnd"/>
      <w:r w:rsidRPr="007F5ECF">
        <w:rPr>
          <w:rStyle w:val="Heading20"/>
          <w:sz w:val="22"/>
          <w:szCs w:val="22"/>
          <w:u w:val="none"/>
        </w:rPr>
        <w:t xml:space="preserve">, </w:t>
      </w:r>
      <w:proofErr w:type="gramStart"/>
      <w:r w:rsidRPr="007F5ECF">
        <w:rPr>
          <w:rStyle w:val="Heading20"/>
          <w:sz w:val="22"/>
          <w:szCs w:val="22"/>
          <w:u w:val="none"/>
        </w:rPr>
        <w:t>being represented</w:t>
      </w:r>
      <w:proofErr w:type="gramEnd"/>
      <w:r w:rsidRPr="007F5ECF">
        <w:rPr>
          <w:rStyle w:val="Heading20"/>
          <w:sz w:val="22"/>
          <w:szCs w:val="22"/>
          <w:u w:val="none"/>
        </w:rPr>
        <w:t xml:space="preserve"> as </w:t>
      </w:r>
      <w:proofErr w:type="gramStart"/>
      <w:r w:rsidRPr="007F5ECF">
        <w:rPr>
          <w:rStyle w:val="Heading20"/>
          <w:sz w:val="22"/>
          <w:szCs w:val="22"/>
          <w:u w:val="none"/>
        </w:rPr>
        <w:t>stated here</w:t>
      </w:r>
      <w:proofErr w:type="gramEnd"/>
      <w:r w:rsidRPr="007F5ECF">
        <w:rPr>
          <w:rStyle w:val="Heading20"/>
          <w:sz w:val="22"/>
          <w:szCs w:val="22"/>
          <w:u w:val="none"/>
        </w:rPr>
        <w:t xml:space="preserve"> above.</w:t>
      </w:r>
    </w:p>
    <w:p w14:paraId="06465778" w14:textId="77777777" w:rsidR="00EC45B1" w:rsidRPr="007F5ECF" w:rsidRDefault="00EC45B1">
      <w:pPr>
        <w:widowControl w:val="0"/>
        <w:contextualSpacing/>
        <w:jc w:val="both"/>
        <w:rPr>
          <w:rStyle w:val="Heading20"/>
          <w:sz w:val="22"/>
          <w:szCs w:val="22"/>
          <w:u w:val="none"/>
        </w:rPr>
      </w:pPr>
    </w:p>
    <w:p w14:paraId="53965B87" w14:textId="77777777" w:rsidR="00EC45B1" w:rsidRPr="007F5ECF" w:rsidRDefault="00000000">
      <w:pPr>
        <w:widowControl w:val="0"/>
        <w:contextualSpacing/>
        <w:jc w:val="both"/>
        <w:rPr>
          <w:sz w:val="22"/>
          <w:szCs w:val="22"/>
        </w:rPr>
      </w:pPr>
      <w:r w:rsidRPr="007F5ECF">
        <w:rPr>
          <w:rStyle w:val="Heading20"/>
          <w:sz w:val="22"/>
          <w:szCs w:val="22"/>
          <w:u w:val="none"/>
        </w:rPr>
        <w:t xml:space="preserve">In accordance with the provisions of Article 710-6 of the 1915 Law, the Partners declare that the share capital has been subscribed but is not paid up as of the date </w:t>
      </w:r>
      <w:proofErr w:type="gramStart"/>
      <w:r w:rsidRPr="007F5ECF">
        <w:rPr>
          <w:rStyle w:val="Heading20"/>
          <w:sz w:val="22"/>
          <w:szCs w:val="22"/>
          <w:u w:val="none"/>
        </w:rPr>
        <w:t>hereof, but</w:t>
      </w:r>
      <w:proofErr w:type="gramEnd"/>
      <w:r w:rsidRPr="007F5ECF">
        <w:rPr>
          <w:rStyle w:val="Heading20"/>
          <w:sz w:val="22"/>
          <w:szCs w:val="22"/>
          <w:u w:val="none"/>
        </w:rPr>
        <w:t xml:space="preserve"> undertakes to pay the sum of [</w:t>
      </w:r>
      <w:r w:rsidRPr="007F5ECF">
        <w:rPr>
          <w:rStyle w:val="Heading20"/>
          <w:sz w:val="22"/>
          <w:szCs w:val="22"/>
          <w:u w:val="none"/>
          <w:shd w:val="clear" w:color="auto" w:fill="FFFF00"/>
        </w:rPr>
        <w:t>currency + amount</w:t>
      </w:r>
      <w:r w:rsidRPr="007F5ECF">
        <w:rPr>
          <w:rStyle w:val="Heading20"/>
          <w:sz w:val="22"/>
          <w:szCs w:val="22"/>
          <w:u w:val="none"/>
        </w:rPr>
        <w:t>] within 12 months following the present deed of incorporation.</w:t>
      </w:r>
    </w:p>
    <w:p w14:paraId="4A423F12" w14:textId="77777777" w:rsidR="00EC45B1" w:rsidRPr="007F5ECF" w:rsidRDefault="00EC45B1">
      <w:pPr>
        <w:widowControl w:val="0"/>
        <w:contextualSpacing/>
        <w:jc w:val="both"/>
        <w:rPr>
          <w:rStyle w:val="Heading20"/>
          <w:sz w:val="22"/>
          <w:szCs w:val="22"/>
          <w:u w:val="none"/>
        </w:rPr>
      </w:pPr>
    </w:p>
    <w:p w14:paraId="6A7A7BD0" w14:textId="77777777" w:rsidR="00EC45B1" w:rsidRPr="007F5ECF" w:rsidRDefault="00000000">
      <w:pPr>
        <w:pStyle w:val="BodyText"/>
        <w:widowControl w:val="0"/>
        <w:spacing w:after="0"/>
        <w:contextualSpacing/>
        <w:jc w:val="both"/>
        <w:rPr>
          <w:sz w:val="22"/>
          <w:szCs w:val="22"/>
        </w:rPr>
      </w:pPr>
      <w:r w:rsidRPr="007F5ECF">
        <w:rPr>
          <w:rStyle w:val="Heading20"/>
          <w:color w:val="000000"/>
          <w:sz w:val="22"/>
          <w:szCs w:val="22"/>
          <w:u w:val="none"/>
        </w:rPr>
        <w:t>The payment of the said share capital shall be made by the Partners upon capital call(s) addressed to him/ her/ it, by the Manager(s)/ Board of Managers, within the time limits and according to the terms and conditions defined by the Articles and in the relevant capital call(s).</w:t>
      </w:r>
    </w:p>
    <w:p w14:paraId="77ECD870" w14:textId="77777777" w:rsidR="00EC45B1" w:rsidRPr="007F5ECF" w:rsidRDefault="00000000">
      <w:pPr>
        <w:pStyle w:val="BodyText"/>
        <w:widowControl w:val="0"/>
        <w:spacing w:after="0"/>
        <w:jc w:val="both"/>
        <w:rPr>
          <w:sz w:val="22"/>
          <w:szCs w:val="22"/>
        </w:rPr>
      </w:pPr>
      <w:r w:rsidRPr="007F5ECF">
        <w:rPr>
          <w:sz w:val="22"/>
          <w:szCs w:val="22"/>
        </w:rPr>
        <w:t> </w:t>
      </w:r>
    </w:p>
    <w:p w14:paraId="543846E2" w14:textId="77777777" w:rsidR="00EC45B1" w:rsidRDefault="00000000">
      <w:pPr>
        <w:pStyle w:val="BodyText"/>
        <w:widowControl w:val="0"/>
        <w:spacing w:after="0"/>
        <w:jc w:val="both"/>
      </w:pPr>
      <w:r w:rsidRPr="007F5ECF">
        <w:rPr>
          <w:color w:val="000000"/>
          <w:sz w:val="22"/>
          <w:szCs w:val="22"/>
        </w:rPr>
        <w:t>The Notary draws the attention of the Manager(s) / Board of Managers to the fact that he / they are obliged to proceed with any capital call necessary for the full payment of the share capital within the period of twelve (12 months following the date of this deed of incorporation, and that he / they may incur personal liability in case of omission, delay or failure to fulfil this obligation,</w:t>
      </w:r>
      <w:r>
        <w:rPr>
          <w:color w:val="000000"/>
          <w:sz w:val="22"/>
        </w:rPr>
        <w:t xml:space="preserve"> which may engage his / their liability towards the Company, without prejudice to any damages and interest.</w:t>
      </w:r>
    </w:p>
    <w:p w14:paraId="0E04323B" w14:textId="77777777" w:rsidR="00EC45B1" w:rsidRDefault="00000000">
      <w:pPr>
        <w:pStyle w:val="BodyText"/>
        <w:widowControl w:val="0"/>
        <w:spacing w:after="0"/>
        <w:jc w:val="both"/>
      </w:pPr>
      <w:r>
        <w:t> </w:t>
      </w:r>
    </w:p>
    <w:p w14:paraId="5207CB03" w14:textId="77777777" w:rsidR="00EC45B1" w:rsidRDefault="00000000">
      <w:pPr>
        <w:pStyle w:val="BodyText"/>
        <w:widowControl w:val="0"/>
        <w:spacing w:after="0"/>
        <w:jc w:val="both"/>
      </w:pPr>
      <w:r>
        <w:rPr>
          <w:color w:val="000000"/>
          <w:sz w:val="22"/>
        </w:rPr>
        <w:t xml:space="preserve">The share capital has been subscribed by the Partners, </w:t>
      </w:r>
      <w:proofErr w:type="spellStart"/>
      <w:r>
        <w:rPr>
          <w:color w:val="000000"/>
          <w:sz w:val="22"/>
        </w:rPr>
        <w:t>prenamed</w:t>
      </w:r>
      <w:proofErr w:type="spellEnd"/>
      <w:r>
        <w:rPr>
          <w:color w:val="000000"/>
          <w:sz w:val="22"/>
        </w:rPr>
        <w:t xml:space="preserve"> and represented as stated before, without payment of the amount stated </w:t>
      </w:r>
      <w:proofErr w:type="gramStart"/>
      <w:r>
        <w:rPr>
          <w:color w:val="000000"/>
          <w:sz w:val="22"/>
        </w:rPr>
        <w:t>hereafter.</w:t>
      </w:r>
      <w:r>
        <w:rPr>
          <w:color w:val="000000"/>
          <w:sz w:val="22"/>
          <w:shd w:val="clear" w:color="auto" w:fill="00FFFF"/>
        </w:rPr>
        <w:t>]</w:t>
      </w:r>
      <w:proofErr w:type="gramEnd"/>
    </w:p>
    <w:p w14:paraId="10041A2B" w14:textId="77777777" w:rsidR="00EC45B1" w:rsidRPr="007F5ECF" w:rsidRDefault="00000000">
      <w:pPr>
        <w:pStyle w:val="Title3"/>
        <w:widowControl w:val="0"/>
        <w:spacing w:before="360" w:after="240"/>
        <w:rPr>
          <w:rFonts w:cstheme="minorHAnsi"/>
          <w:caps w:val="0"/>
          <w:szCs w:val="22"/>
          <w:lang w:val="en-GB"/>
        </w:rPr>
      </w:pPr>
      <w:r w:rsidRPr="007F5ECF">
        <w:rPr>
          <w:rFonts w:cstheme="minorHAnsi"/>
          <w:caps w:val="0"/>
          <w:szCs w:val="22"/>
          <w:lang w:val="en-GB"/>
        </w:rPr>
        <w:t>DECISIONS OF THE PARTNERS</w:t>
      </w:r>
    </w:p>
    <w:p w14:paraId="086CA291" w14:textId="77777777" w:rsidR="00EC45B1" w:rsidRPr="007F5ECF" w:rsidRDefault="00000000">
      <w:pPr>
        <w:pStyle w:val="ListParagraph"/>
        <w:widowControl w:val="0"/>
        <w:numPr>
          <w:ilvl w:val="0"/>
          <w:numId w:val="3"/>
        </w:numPr>
        <w:jc w:val="both"/>
        <w:rPr>
          <w:rFonts w:cstheme="minorHAnsi"/>
          <w:sz w:val="22"/>
          <w:szCs w:val="22"/>
          <w:lang w:val="en-GB"/>
        </w:rPr>
      </w:pPr>
      <w:r w:rsidRPr="007F5ECF">
        <w:rPr>
          <w:rFonts w:cstheme="minorHAnsi"/>
          <w:sz w:val="22"/>
          <w:szCs w:val="22"/>
          <w:lang w:val="en-GB"/>
        </w:rPr>
        <w:t>The Partners, representing the whole of the subscribed share capital, decide to appoint the following persons as Managers of the Company:</w:t>
      </w:r>
    </w:p>
    <w:p w14:paraId="4AA537F7" w14:textId="77777777" w:rsidR="00EC45B1" w:rsidRPr="007F5ECF" w:rsidRDefault="00000000" w:rsidP="007F5ECF">
      <w:pPr>
        <w:widowControl w:val="0"/>
        <w:numPr>
          <w:ilvl w:val="0"/>
          <w:numId w:val="5"/>
        </w:numPr>
        <w:tabs>
          <w:tab w:val="clear" w:pos="450"/>
          <w:tab w:val="num" w:pos="1418"/>
        </w:tabs>
        <w:ind w:left="1418" w:hanging="338"/>
        <w:contextualSpacing/>
        <w:jc w:val="both"/>
        <w:rPr>
          <w:rFonts w:cstheme="minorHAnsi"/>
          <w:color w:val="000000"/>
          <w:sz w:val="22"/>
          <w:szCs w:val="22"/>
          <w:lang w:val="en-GB" w:eastAsia="fr-FR"/>
        </w:rPr>
      </w:pPr>
      <w:r w:rsidRPr="007F5ECF">
        <w:rPr>
          <w:rFonts w:cstheme="minorHAnsi"/>
          <w:b/>
          <w:sz w:val="22"/>
          <w:szCs w:val="22"/>
          <w:lang w:val="en-GB"/>
        </w:rPr>
        <w:t>[</w:t>
      </w:r>
      <w:r w:rsidRPr="007F5ECF">
        <w:rPr>
          <w:rFonts w:cstheme="minorHAnsi"/>
          <w:b/>
          <w:sz w:val="22"/>
          <w:szCs w:val="22"/>
          <w:highlight w:val="yellow"/>
          <w:lang w:val="en-GB"/>
        </w:rPr>
        <w:t>full name</w:t>
      </w:r>
      <w:r w:rsidRPr="007F5ECF">
        <w:rPr>
          <w:rFonts w:cstheme="minorHAnsi"/>
          <w:b/>
          <w:sz w:val="22"/>
          <w:szCs w:val="22"/>
          <w:lang w:val="en-GB"/>
        </w:rPr>
        <w:t>]</w:t>
      </w:r>
      <w:proofErr w:type="gramStart"/>
      <w:r w:rsidRPr="007F5ECF">
        <w:rPr>
          <w:rFonts w:cstheme="minorHAnsi"/>
          <w:sz w:val="22"/>
          <w:szCs w:val="22"/>
          <w:lang w:val="en-GB"/>
        </w:rPr>
        <w:t>, ,</w:t>
      </w:r>
      <w:proofErr w:type="gramEnd"/>
      <w:r w:rsidRPr="007F5ECF">
        <w:rPr>
          <w:rFonts w:cstheme="minorHAnsi"/>
          <w:sz w:val="22"/>
          <w:szCs w:val="22"/>
          <w:lang w:val="en-GB"/>
        </w:rPr>
        <w:t xml:space="preserve"> born on [</w:t>
      </w:r>
      <w:r w:rsidRPr="007F5ECF">
        <w:rPr>
          <w:rFonts w:cstheme="minorHAnsi"/>
          <w:sz w:val="22"/>
          <w:szCs w:val="22"/>
          <w:highlight w:val="yellow"/>
          <w:lang w:val="en-GB"/>
        </w:rPr>
        <w:t>date of birth</w:t>
      </w:r>
      <w:r w:rsidRPr="007F5ECF">
        <w:rPr>
          <w:rFonts w:cstheme="minorHAnsi"/>
          <w:sz w:val="22"/>
          <w:szCs w:val="22"/>
          <w:lang w:val="en-GB"/>
        </w:rPr>
        <w:t>], in [</w:t>
      </w:r>
      <w:r w:rsidRPr="007F5ECF">
        <w:rPr>
          <w:rFonts w:cstheme="minorHAnsi"/>
          <w:sz w:val="22"/>
          <w:szCs w:val="22"/>
          <w:highlight w:val="yellow"/>
          <w:lang w:val="en-GB"/>
        </w:rPr>
        <w:t>place of birth</w:t>
      </w:r>
      <w:r w:rsidRPr="007F5ECF">
        <w:rPr>
          <w:rFonts w:cstheme="minorHAnsi"/>
          <w:sz w:val="22"/>
          <w:szCs w:val="22"/>
          <w:lang w:val="en-GB"/>
        </w:rPr>
        <w:t>], with professional address at [</w:t>
      </w:r>
      <w:r w:rsidRPr="007F5ECF">
        <w:rPr>
          <w:rFonts w:cstheme="minorHAnsi"/>
          <w:sz w:val="22"/>
          <w:szCs w:val="22"/>
          <w:highlight w:val="yellow"/>
          <w:lang w:val="en-GB"/>
        </w:rPr>
        <w:t>full address</w:t>
      </w:r>
      <w:r w:rsidRPr="007F5ECF">
        <w:rPr>
          <w:rFonts w:cstheme="minorHAnsi"/>
          <w:sz w:val="22"/>
          <w:szCs w:val="22"/>
          <w:lang w:val="en-GB"/>
        </w:rPr>
        <w:t>];</w:t>
      </w:r>
    </w:p>
    <w:p w14:paraId="3F60EDC6" w14:textId="77777777" w:rsidR="00EC45B1" w:rsidRPr="007F5ECF" w:rsidRDefault="00000000">
      <w:pPr>
        <w:widowControl w:val="0"/>
        <w:numPr>
          <w:ilvl w:val="0"/>
          <w:numId w:val="5"/>
        </w:numPr>
        <w:ind w:firstLine="630"/>
        <w:contextualSpacing/>
        <w:jc w:val="both"/>
        <w:rPr>
          <w:rFonts w:cstheme="minorHAnsi"/>
          <w:sz w:val="22"/>
          <w:szCs w:val="22"/>
          <w:lang w:val="en-GB"/>
        </w:rPr>
      </w:pPr>
      <w:r w:rsidRPr="007F5ECF">
        <w:rPr>
          <w:rFonts w:cstheme="minorHAnsi"/>
          <w:b/>
          <w:sz w:val="22"/>
          <w:szCs w:val="22"/>
          <w:lang w:val="en-GB"/>
        </w:rPr>
        <w:t>[</w:t>
      </w:r>
      <w:r w:rsidRPr="007F5ECF">
        <w:rPr>
          <w:rFonts w:cstheme="minorHAnsi"/>
          <w:b/>
          <w:sz w:val="22"/>
          <w:szCs w:val="22"/>
          <w:highlight w:val="yellow"/>
          <w:lang w:val="en-GB"/>
        </w:rPr>
        <w:t xml:space="preserve">full </w:t>
      </w:r>
      <w:proofErr w:type="gramStart"/>
      <w:r w:rsidRPr="007F5ECF">
        <w:rPr>
          <w:rFonts w:cstheme="minorHAnsi"/>
          <w:b/>
          <w:sz w:val="22"/>
          <w:szCs w:val="22"/>
          <w:highlight w:val="yellow"/>
          <w:lang w:val="en-GB"/>
        </w:rPr>
        <w:t>name</w:t>
      </w:r>
      <w:r w:rsidRPr="007F5ECF">
        <w:rPr>
          <w:rFonts w:cstheme="minorHAnsi"/>
          <w:b/>
          <w:sz w:val="22"/>
          <w:szCs w:val="22"/>
          <w:lang w:val="en-GB"/>
        </w:rPr>
        <w:t>]...</w:t>
      </w:r>
      <w:proofErr w:type="gramEnd"/>
      <w:r w:rsidRPr="007F5ECF">
        <w:rPr>
          <w:rFonts w:cstheme="minorHAnsi"/>
          <w:b/>
          <w:sz w:val="22"/>
          <w:szCs w:val="22"/>
          <w:lang w:val="en-GB"/>
        </w:rPr>
        <w:t>.</w:t>
      </w:r>
    </w:p>
    <w:p w14:paraId="048EA61E" w14:textId="77777777" w:rsidR="00EC45B1" w:rsidRPr="007F5ECF" w:rsidRDefault="00EC45B1">
      <w:pPr>
        <w:widowControl w:val="0"/>
        <w:contextualSpacing/>
        <w:jc w:val="both"/>
        <w:rPr>
          <w:rFonts w:cstheme="minorHAnsi"/>
          <w:b/>
          <w:sz w:val="22"/>
          <w:szCs w:val="22"/>
          <w:lang w:val="en-GB"/>
        </w:rPr>
      </w:pPr>
    </w:p>
    <w:p w14:paraId="6F877090" w14:textId="77777777" w:rsidR="00EC45B1" w:rsidRPr="007F5ECF" w:rsidRDefault="00000000">
      <w:pPr>
        <w:widowControl w:val="0"/>
        <w:ind w:firstLine="360"/>
        <w:contextualSpacing/>
        <w:jc w:val="both"/>
        <w:rPr>
          <w:rFonts w:cstheme="minorHAnsi"/>
          <w:sz w:val="22"/>
          <w:szCs w:val="22"/>
          <w:lang w:val="en-GB"/>
        </w:rPr>
      </w:pPr>
      <w:r w:rsidRPr="007F5ECF">
        <w:rPr>
          <w:rFonts w:cstheme="minorHAnsi"/>
          <w:sz w:val="22"/>
          <w:szCs w:val="22"/>
          <w:lang w:val="en-GB"/>
        </w:rPr>
        <w:t xml:space="preserve"> The duration of their mandate is unlimited.</w:t>
      </w:r>
    </w:p>
    <w:p w14:paraId="39F62FD6" w14:textId="77777777" w:rsidR="00EC45B1" w:rsidRPr="007F5ECF" w:rsidRDefault="00EC45B1">
      <w:pPr>
        <w:widowControl w:val="0"/>
        <w:contextualSpacing/>
        <w:jc w:val="both"/>
        <w:rPr>
          <w:rFonts w:cstheme="minorHAnsi"/>
          <w:sz w:val="22"/>
          <w:szCs w:val="22"/>
          <w:lang w:val="en-GB"/>
        </w:rPr>
      </w:pPr>
    </w:p>
    <w:p w14:paraId="3495F165" w14:textId="77777777" w:rsidR="00EC45B1" w:rsidRPr="007F5ECF" w:rsidRDefault="00000000">
      <w:pPr>
        <w:pStyle w:val="ListParagraph"/>
        <w:widowControl w:val="0"/>
        <w:numPr>
          <w:ilvl w:val="0"/>
          <w:numId w:val="3"/>
        </w:numPr>
        <w:jc w:val="both"/>
        <w:rPr>
          <w:rFonts w:cstheme="minorHAnsi"/>
          <w:sz w:val="22"/>
          <w:szCs w:val="22"/>
          <w:lang w:val="en-GB"/>
        </w:rPr>
      </w:pPr>
      <w:r w:rsidRPr="007F5ECF">
        <w:rPr>
          <w:rFonts w:cstheme="minorHAnsi"/>
          <w:sz w:val="22"/>
          <w:szCs w:val="22"/>
          <w:lang w:val="en-GB"/>
        </w:rPr>
        <w:t>The Partners decide that the registered office of the Company will be [</w:t>
      </w:r>
      <w:r w:rsidRPr="007F5ECF">
        <w:rPr>
          <w:rFonts w:cstheme="minorHAnsi"/>
          <w:sz w:val="22"/>
          <w:szCs w:val="22"/>
          <w:highlight w:val="yellow"/>
          <w:lang w:val="en-GB"/>
        </w:rPr>
        <w:t>full address</w:t>
      </w:r>
      <w:r w:rsidRPr="007F5ECF">
        <w:rPr>
          <w:rFonts w:cstheme="minorHAnsi"/>
          <w:sz w:val="22"/>
          <w:szCs w:val="22"/>
          <w:lang w:val="en-GB"/>
        </w:rPr>
        <w:t>], Grand Duchy of Luxembourg.</w:t>
      </w:r>
    </w:p>
    <w:p w14:paraId="775A828F" w14:textId="77777777" w:rsidR="00EC45B1" w:rsidRDefault="00000000">
      <w:pPr>
        <w:pStyle w:val="Title3"/>
        <w:widowControl w:val="0"/>
        <w:spacing w:before="360" w:after="240"/>
        <w:rPr>
          <w:rFonts w:cstheme="minorHAnsi"/>
          <w:bCs/>
          <w:caps w:val="0"/>
          <w:lang w:val="en-GB"/>
        </w:rPr>
      </w:pPr>
      <w:r>
        <w:rPr>
          <w:rFonts w:cstheme="minorHAnsi"/>
          <w:bCs/>
          <w:caps w:val="0"/>
          <w:lang w:val="en-GB"/>
        </w:rPr>
        <w:t>STATEMENT</w:t>
      </w:r>
    </w:p>
    <w:p w14:paraId="664FA41A" w14:textId="77777777" w:rsidR="00EC45B1" w:rsidRPr="007F5ECF" w:rsidRDefault="00000000">
      <w:pPr>
        <w:widowControl w:val="0"/>
        <w:contextualSpacing/>
        <w:jc w:val="both"/>
        <w:rPr>
          <w:sz w:val="22"/>
          <w:szCs w:val="22"/>
        </w:rPr>
      </w:pPr>
      <w:r w:rsidRPr="007F5ECF">
        <w:rPr>
          <w:sz w:val="22"/>
          <w:szCs w:val="22"/>
        </w:rPr>
        <w:t xml:space="preserve">The undersigned notary, who understands and speaks English, states herewith that on request of the above appearing party, the present deed is worded in English, followed by a French version. On request of the same appearing party and in case of divergences between the English and the French text, the </w:t>
      </w:r>
      <w:r w:rsidRPr="007F5ECF">
        <w:rPr>
          <w:b/>
          <w:bCs/>
          <w:sz w:val="22"/>
          <w:szCs w:val="22"/>
        </w:rPr>
        <w:t>English version</w:t>
      </w:r>
      <w:r w:rsidRPr="007F5ECF">
        <w:rPr>
          <w:sz w:val="22"/>
          <w:szCs w:val="22"/>
        </w:rPr>
        <w:t xml:space="preserve"> will </w:t>
      </w:r>
      <w:r w:rsidRPr="007F5ECF">
        <w:rPr>
          <w:sz w:val="22"/>
          <w:szCs w:val="22"/>
        </w:rPr>
        <w:lastRenderedPageBreak/>
        <w:t>be prevailing.</w:t>
      </w:r>
    </w:p>
    <w:p w14:paraId="185778E7" w14:textId="77777777" w:rsidR="00EC45B1" w:rsidRPr="007F5ECF" w:rsidRDefault="00EC45B1">
      <w:pPr>
        <w:widowControl w:val="0"/>
        <w:contextualSpacing/>
        <w:jc w:val="both"/>
        <w:rPr>
          <w:rFonts w:cstheme="minorHAnsi"/>
          <w:sz w:val="22"/>
          <w:szCs w:val="22"/>
          <w:lang w:val="en-GB"/>
        </w:rPr>
      </w:pPr>
    </w:p>
    <w:p w14:paraId="6EC5E844" w14:textId="77777777" w:rsidR="00EC45B1" w:rsidRPr="007F5ECF" w:rsidRDefault="00000000">
      <w:pPr>
        <w:pStyle w:val="BodyText"/>
        <w:widowControl w:val="0"/>
        <w:spacing w:after="0"/>
        <w:contextualSpacing/>
        <w:jc w:val="both"/>
        <w:rPr>
          <w:rFonts w:cstheme="minorHAnsi"/>
          <w:sz w:val="22"/>
          <w:szCs w:val="22"/>
          <w:lang w:val="en-GB"/>
        </w:rPr>
      </w:pPr>
      <w:r w:rsidRPr="007F5ECF">
        <w:rPr>
          <w:i/>
          <w:color w:val="000000"/>
          <w:sz w:val="22"/>
          <w:szCs w:val="22"/>
          <w:shd w:val="clear" w:color="auto" w:fill="00FFFF"/>
        </w:rPr>
        <w:t>Provision to be included only if the capital</w:t>
      </w:r>
      <w:r w:rsidRPr="007F5ECF">
        <w:rPr>
          <w:color w:val="000000"/>
          <w:sz w:val="22"/>
          <w:szCs w:val="22"/>
          <w:shd w:val="clear" w:color="auto" w:fill="00FFFF"/>
        </w:rPr>
        <w:t xml:space="preserve"> </w:t>
      </w:r>
      <w:r w:rsidRPr="007F5ECF">
        <w:rPr>
          <w:i/>
          <w:color w:val="000000"/>
          <w:sz w:val="22"/>
          <w:szCs w:val="22"/>
          <w:shd w:val="clear" w:color="auto" w:fill="00FFFF"/>
        </w:rPr>
        <w:t>is paid up within 12 months following the date of incorporation</w:t>
      </w:r>
      <w:r w:rsidRPr="007F5ECF">
        <w:rPr>
          <w:rStyle w:val="FootnoteReference"/>
          <w:i/>
          <w:color w:val="000000"/>
          <w:sz w:val="22"/>
          <w:szCs w:val="22"/>
          <w:shd w:val="clear" w:color="auto" w:fill="00FFFF"/>
        </w:rPr>
        <w:footnoteReference w:id="10"/>
      </w:r>
      <w:r w:rsidRPr="007F5ECF">
        <w:rPr>
          <w:i/>
          <w:color w:val="000000"/>
          <w:sz w:val="22"/>
          <w:szCs w:val="22"/>
          <w:shd w:val="clear" w:color="auto" w:fill="00FFFF"/>
        </w:rPr>
        <w:t>:</w:t>
      </w:r>
    </w:p>
    <w:p w14:paraId="396C7B4E" w14:textId="77777777" w:rsidR="00EC45B1" w:rsidRPr="007F5ECF" w:rsidRDefault="00000000">
      <w:pPr>
        <w:pStyle w:val="BodyText"/>
        <w:widowControl w:val="0"/>
        <w:spacing w:after="0"/>
        <w:jc w:val="both"/>
        <w:rPr>
          <w:sz w:val="22"/>
          <w:szCs w:val="22"/>
        </w:rPr>
      </w:pPr>
      <w:r w:rsidRPr="007F5ECF">
        <w:rPr>
          <w:color w:val="000000"/>
          <w:sz w:val="22"/>
          <w:szCs w:val="22"/>
          <w:shd w:val="clear" w:color="auto" w:fill="00FFFF"/>
        </w:rPr>
        <w:t>[</w:t>
      </w:r>
      <w:r w:rsidRPr="007F5ECF">
        <w:rPr>
          <w:color w:val="000000"/>
          <w:sz w:val="22"/>
          <w:szCs w:val="22"/>
        </w:rPr>
        <w:t xml:space="preserve">The notary states that the conditions provided for in Articles 710-6 and 710-7 of the law of 10 August 1915 on commercial companies, as amended, have been complied with, and in this respects draws the attention of the Partners to the provisions of </w:t>
      </w:r>
      <w:bookmarkStart w:id="10" w:name="_Hlk231399300"/>
      <w:bookmarkEnd w:id="10"/>
      <w:r w:rsidRPr="007F5ECF">
        <w:rPr>
          <w:color w:val="000000"/>
          <w:sz w:val="22"/>
          <w:szCs w:val="22"/>
        </w:rPr>
        <w:t>Article 710-7, paragraph 5, according to which “the shareholders shall, notwithstanding any contrary provision in the present articles, be liable for the amount of their shares”.</w:t>
      </w:r>
      <w:r w:rsidRPr="007F5ECF">
        <w:rPr>
          <w:color w:val="000000"/>
          <w:sz w:val="22"/>
          <w:szCs w:val="22"/>
          <w:shd w:val="clear" w:color="auto" w:fill="00FFFF"/>
        </w:rPr>
        <w:t>]</w:t>
      </w:r>
    </w:p>
    <w:p w14:paraId="11C329E5" w14:textId="77777777" w:rsidR="00EC45B1" w:rsidRPr="007F5ECF" w:rsidRDefault="00000000">
      <w:pPr>
        <w:pStyle w:val="Title3"/>
        <w:widowControl w:val="0"/>
        <w:spacing w:before="360" w:after="240"/>
        <w:rPr>
          <w:rFonts w:cstheme="minorHAnsi"/>
          <w:bCs/>
          <w:caps w:val="0"/>
          <w:szCs w:val="22"/>
          <w:lang w:val="en-GB"/>
        </w:rPr>
      </w:pPr>
      <w:r w:rsidRPr="007F5ECF">
        <w:rPr>
          <w:rFonts w:cstheme="minorHAnsi"/>
          <w:bCs/>
          <w:caps w:val="0"/>
          <w:szCs w:val="22"/>
          <w:lang w:val="en-GB"/>
        </w:rPr>
        <w:t>FEES</w:t>
      </w:r>
    </w:p>
    <w:p w14:paraId="072ADF68" w14:textId="77777777" w:rsidR="00EC45B1" w:rsidRPr="007F5ECF" w:rsidRDefault="00000000">
      <w:pPr>
        <w:widowControl w:val="0"/>
        <w:contextualSpacing/>
        <w:jc w:val="both"/>
        <w:rPr>
          <w:rFonts w:cstheme="minorHAnsi"/>
          <w:sz w:val="22"/>
          <w:szCs w:val="22"/>
          <w:lang w:val="en-GB"/>
        </w:rPr>
      </w:pPr>
      <w:r w:rsidRPr="007F5ECF">
        <w:rPr>
          <w:rFonts w:cstheme="minorHAnsi"/>
          <w:sz w:val="22"/>
          <w:szCs w:val="22"/>
          <w:lang w:val="en-GB"/>
        </w:rPr>
        <w:t xml:space="preserve">The costs, expenses, remunerations and charges in any form whatsoever, which are the charge of the Company </w:t>
      </w:r>
      <w:proofErr w:type="gramStart"/>
      <w:r w:rsidRPr="007F5ECF">
        <w:rPr>
          <w:rFonts w:cstheme="minorHAnsi"/>
          <w:sz w:val="22"/>
          <w:szCs w:val="22"/>
          <w:lang w:val="en-GB"/>
        </w:rPr>
        <w:t>as a result of</w:t>
      </w:r>
      <w:proofErr w:type="gramEnd"/>
      <w:r w:rsidRPr="007F5ECF">
        <w:rPr>
          <w:rFonts w:cstheme="minorHAnsi"/>
          <w:sz w:val="22"/>
          <w:szCs w:val="22"/>
          <w:lang w:val="en-GB"/>
        </w:rPr>
        <w:t xml:space="preserve"> the present, are evaluated without any prejudice to the sum of EUR [</w:t>
      </w:r>
      <w:r w:rsidRPr="007F5ECF">
        <w:rPr>
          <w:rFonts w:cstheme="minorHAnsi"/>
          <w:sz w:val="22"/>
          <w:szCs w:val="22"/>
          <w:highlight w:val="yellow"/>
          <w:lang w:val="en-GB"/>
        </w:rPr>
        <w:t>amount</w:t>
      </w:r>
      <w:r w:rsidRPr="007F5ECF">
        <w:rPr>
          <w:rFonts w:cstheme="minorHAnsi"/>
          <w:sz w:val="22"/>
          <w:szCs w:val="22"/>
          <w:lang w:val="en-GB"/>
        </w:rPr>
        <w:t>].</w:t>
      </w:r>
    </w:p>
    <w:p w14:paraId="12C94883" w14:textId="77777777" w:rsidR="00EC45B1" w:rsidRPr="007F5ECF" w:rsidRDefault="00EC45B1">
      <w:pPr>
        <w:widowControl w:val="0"/>
        <w:contextualSpacing/>
        <w:jc w:val="both"/>
        <w:rPr>
          <w:rFonts w:cstheme="minorHAnsi"/>
          <w:sz w:val="22"/>
          <w:szCs w:val="22"/>
          <w:lang w:val="en-GB"/>
        </w:rPr>
      </w:pPr>
    </w:p>
    <w:p w14:paraId="4EEF981D" w14:textId="77777777" w:rsidR="00EC45B1" w:rsidRPr="007F5ECF" w:rsidRDefault="00000000">
      <w:pPr>
        <w:pStyle w:val="BodyText"/>
        <w:widowControl w:val="0"/>
        <w:spacing w:after="0"/>
        <w:contextualSpacing/>
        <w:jc w:val="both"/>
        <w:rPr>
          <w:rFonts w:cstheme="minorHAnsi"/>
          <w:sz w:val="22"/>
          <w:szCs w:val="22"/>
          <w:lang w:val="en-GB"/>
        </w:rPr>
      </w:pPr>
      <w:r w:rsidRPr="007F5ECF">
        <w:rPr>
          <w:rFonts w:cstheme="minorHAnsi"/>
          <w:sz w:val="22"/>
          <w:szCs w:val="22"/>
          <w:lang w:val="en-GB"/>
        </w:rPr>
        <w:t> </w:t>
      </w:r>
    </w:p>
    <w:p w14:paraId="58AB7829" w14:textId="77777777" w:rsidR="00EC45B1" w:rsidRPr="007F5ECF" w:rsidRDefault="00000000">
      <w:pPr>
        <w:pStyle w:val="BodyText"/>
        <w:widowControl w:val="0"/>
        <w:spacing w:after="0"/>
        <w:jc w:val="both"/>
        <w:rPr>
          <w:rFonts w:cstheme="minorHAnsi"/>
          <w:sz w:val="22"/>
          <w:szCs w:val="22"/>
          <w:lang w:val="en-GB"/>
        </w:rPr>
      </w:pPr>
      <w:r w:rsidRPr="007F5ECF">
        <w:rPr>
          <w:rFonts w:cstheme="minorHAnsi"/>
          <w:i/>
          <w:color w:val="000000"/>
          <w:sz w:val="22"/>
          <w:szCs w:val="22"/>
          <w:shd w:val="clear" w:color="auto" w:fill="00FFFF"/>
          <w:lang w:val="en-GB"/>
        </w:rPr>
        <w:t>Provision to be included only if the capital is paid up within 12 months following the date of incorporation</w:t>
      </w:r>
      <w:proofErr w:type="gramStart"/>
      <w:r w:rsidRPr="007F5ECF">
        <w:rPr>
          <w:rFonts w:cstheme="minorHAnsi"/>
          <w:i/>
          <w:color w:val="000000"/>
          <w:sz w:val="22"/>
          <w:szCs w:val="22"/>
          <w:shd w:val="clear" w:color="auto" w:fill="00FFFF"/>
          <w:vertAlign w:val="superscript"/>
          <w:lang w:val="en-GB"/>
        </w:rPr>
        <w:t xml:space="preserve">10 </w:t>
      </w:r>
      <w:r w:rsidRPr="007F5ECF">
        <w:rPr>
          <w:rFonts w:cstheme="minorHAnsi"/>
          <w:i/>
          <w:color w:val="000000"/>
          <w:sz w:val="22"/>
          <w:szCs w:val="22"/>
          <w:shd w:val="clear" w:color="auto" w:fill="00FFFF"/>
          <w:lang w:val="en-GB"/>
        </w:rPr>
        <w:t>:</w:t>
      </w:r>
      <w:proofErr w:type="gramEnd"/>
    </w:p>
    <w:p w14:paraId="452D9EC0" w14:textId="77777777" w:rsidR="00EC45B1" w:rsidRPr="007F5ECF" w:rsidRDefault="00000000">
      <w:pPr>
        <w:pStyle w:val="BodyText"/>
        <w:widowControl w:val="0"/>
        <w:spacing w:after="0"/>
        <w:jc w:val="both"/>
        <w:rPr>
          <w:rFonts w:cstheme="minorHAnsi"/>
          <w:sz w:val="22"/>
          <w:szCs w:val="22"/>
          <w:lang w:val="en-GB"/>
        </w:rPr>
      </w:pPr>
      <w:r w:rsidRPr="007F5ECF">
        <w:rPr>
          <w:rFonts w:cstheme="minorHAnsi"/>
          <w:color w:val="000000"/>
          <w:sz w:val="22"/>
          <w:szCs w:val="22"/>
          <w:shd w:val="clear" w:color="auto" w:fill="00FFFF"/>
          <w:lang w:val="en-GB"/>
        </w:rPr>
        <w:t>[</w:t>
      </w:r>
      <w:r w:rsidRPr="007F5ECF">
        <w:rPr>
          <w:rFonts w:cstheme="minorHAnsi"/>
          <w:color w:val="000000"/>
          <w:sz w:val="22"/>
          <w:szCs w:val="22"/>
          <w:lang w:val="en-GB"/>
        </w:rPr>
        <w:t>With regard to the undersigned notary, the Partners, all the managers and instructing parties shall be jointly and severally liable for the payment of all fees and expenses arising from the present deed, which is expressly acknowledged by the latter.</w:t>
      </w:r>
      <w:r w:rsidRPr="007F5ECF">
        <w:rPr>
          <w:rFonts w:cstheme="minorHAnsi"/>
          <w:color w:val="000000"/>
          <w:sz w:val="22"/>
          <w:szCs w:val="22"/>
          <w:shd w:val="clear" w:color="auto" w:fill="00FFFF"/>
          <w:lang w:val="en-GB"/>
        </w:rPr>
        <w:t>]</w:t>
      </w:r>
    </w:p>
    <w:p w14:paraId="02300E23" w14:textId="77777777" w:rsidR="00EC45B1" w:rsidRPr="007F5ECF" w:rsidRDefault="00EC45B1">
      <w:pPr>
        <w:pStyle w:val="BodyText"/>
        <w:widowControl w:val="0"/>
        <w:spacing w:after="0"/>
        <w:contextualSpacing/>
        <w:jc w:val="both"/>
        <w:rPr>
          <w:rFonts w:cstheme="minorHAnsi"/>
          <w:color w:val="000000"/>
          <w:sz w:val="22"/>
          <w:szCs w:val="22"/>
          <w:lang w:val="en-GB"/>
        </w:rPr>
      </w:pPr>
    </w:p>
    <w:p w14:paraId="089AF4CA" w14:textId="77777777" w:rsidR="00EC45B1" w:rsidRPr="007F5ECF" w:rsidRDefault="00EC45B1">
      <w:pPr>
        <w:pStyle w:val="BodyText"/>
        <w:widowControl w:val="0"/>
        <w:spacing w:after="0"/>
        <w:contextualSpacing/>
        <w:jc w:val="both"/>
        <w:rPr>
          <w:rFonts w:cstheme="minorHAnsi"/>
          <w:color w:val="000000"/>
          <w:sz w:val="22"/>
          <w:szCs w:val="22"/>
          <w:lang w:val="en-GB"/>
        </w:rPr>
      </w:pPr>
    </w:p>
    <w:p w14:paraId="3BAD92F9" w14:textId="77777777" w:rsidR="00EC45B1" w:rsidRDefault="00EC45B1">
      <w:pPr>
        <w:pStyle w:val="BodyText"/>
        <w:widowControl w:val="0"/>
        <w:spacing w:after="0"/>
        <w:contextualSpacing/>
        <w:jc w:val="both"/>
        <w:rPr>
          <w:rFonts w:cstheme="minorHAnsi"/>
          <w:color w:val="000000"/>
          <w:lang w:val="en-GB"/>
        </w:rPr>
      </w:pPr>
    </w:p>
    <w:p w14:paraId="0CEC1DA9" w14:textId="77777777" w:rsidR="00EC45B1" w:rsidRDefault="00EC45B1">
      <w:pPr>
        <w:pStyle w:val="BodyText"/>
        <w:widowControl w:val="0"/>
        <w:spacing w:after="0"/>
        <w:contextualSpacing/>
        <w:jc w:val="both"/>
        <w:rPr>
          <w:rFonts w:cstheme="minorHAnsi"/>
          <w:color w:val="000000"/>
          <w:lang w:val="en-GB"/>
        </w:rPr>
      </w:pPr>
    </w:p>
    <w:p w14:paraId="593AA453" w14:textId="77777777" w:rsidR="00EC45B1" w:rsidRDefault="00EC45B1">
      <w:pPr>
        <w:pStyle w:val="BodyText"/>
        <w:widowControl w:val="0"/>
        <w:spacing w:after="0"/>
        <w:contextualSpacing/>
        <w:jc w:val="both"/>
        <w:rPr>
          <w:rFonts w:cstheme="minorHAnsi"/>
          <w:color w:val="000000"/>
          <w:lang w:val="en-GB"/>
        </w:rPr>
      </w:pPr>
    </w:p>
    <w:p w14:paraId="39BEEC61" w14:textId="77777777" w:rsidR="00EC45B1" w:rsidRDefault="00EC45B1">
      <w:pPr>
        <w:pStyle w:val="BodyText"/>
        <w:widowControl w:val="0"/>
        <w:spacing w:after="0"/>
        <w:contextualSpacing/>
        <w:jc w:val="both"/>
        <w:rPr>
          <w:rFonts w:cstheme="minorHAnsi"/>
          <w:color w:val="000000"/>
          <w:lang w:val="en-GB"/>
        </w:rPr>
      </w:pPr>
    </w:p>
    <w:p w14:paraId="6C7F121D" w14:textId="77777777" w:rsidR="00EC45B1" w:rsidRDefault="00EC45B1">
      <w:pPr>
        <w:widowControl w:val="0"/>
        <w:contextualSpacing/>
        <w:jc w:val="both"/>
        <w:rPr>
          <w:rFonts w:cstheme="minorHAnsi"/>
          <w:lang w:val="en-GB"/>
        </w:rPr>
      </w:pPr>
    </w:p>
    <w:p w14:paraId="61E6CA4F" w14:textId="77777777" w:rsidR="00EC45B1" w:rsidRDefault="00EC45B1">
      <w:pPr>
        <w:pStyle w:val="Title3"/>
        <w:widowControl w:val="0"/>
        <w:spacing w:before="360" w:after="240"/>
        <w:rPr>
          <w:rFonts w:cstheme="minorHAnsi"/>
          <w:bCs/>
          <w:caps w:val="0"/>
          <w:lang w:val="en-GB"/>
        </w:rPr>
      </w:pPr>
    </w:p>
    <w:p w14:paraId="6DEC2891" w14:textId="77777777" w:rsidR="00EC45B1" w:rsidRDefault="00EC45B1">
      <w:pPr>
        <w:widowControl w:val="0"/>
        <w:contextualSpacing/>
        <w:jc w:val="both"/>
        <w:rPr>
          <w:rFonts w:cstheme="minorHAnsi"/>
          <w:lang w:val="en-GB"/>
        </w:rPr>
      </w:pPr>
    </w:p>
    <w:p w14:paraId="17DD23C9" w14:textId="77777777" w:rsidR="00EC45B1" w:rsidRDefault="00000000">
      <w:pPr>
        <w:spacing w:after="160" w:line="259" w:lineRule="auto"/>
        <w:rPr>
          <w:rFonts w:cstheme="minorHAnsi"/>
          <w:b/>
          <w:szCs w:val="24"/>
          <w:u w:val="single"/>
        </w:rPr>
      </w:pPr>
      <w:r>
        <w:br w:type="page" w:clear="all"/>
      </w:r>
    </w:p>
    <w:p w14:paraId="19B29915" w14:textId="77777777" w:rsidR="00EC45B1" w:rsidRDefault="00000000">
      <w:pPr>
        <w:widowControl w:val="0"/>
        <w:spacing w:line="360" w:lineRule="auto"/>
        <w:ind w:firstLine="709"/>
        <w:jc w:val="center"/>
        <w:rPr>
          <w:rFonts w:cstheme="minorHAnsi"/>
          <w:b/>
          <w:szCs w:val="24"/>
          <w:u w:val="single"/>
          <w:lang w:val="fr-FR"/>
        </w:rPr>
      </w:pPr>
      <w:r>
        <w:rPr>
          <w:rFonts w:cstheme="minorHAnsi"/>
          <w:b/>
          <w:szCs w:val="24"/>
          <w:u w:val="single"/>
          <w:lang w:val="fr-FR"/>
        </w:rPr>
        <w:lastRenderedPageBreak/>
        <w:t xml:space="preserve">FOLLOWS THE FRENCH </w:t>
      </w:r>
      <w:proofErr w:type="gramStart"/>
      <w:r>
        <w:rPr>
          <w:rFonts w:cstheme="minorHAnsi"/>
          <w:b/>
          <w:szCs w:val="24"/>
          <w:u w:val="single"/>
          <w:lang w:val="fr-FR"/>
        </w:rPr>
        <w:t>VERSION:</w:t>
      </w:r>
      <w:proofErr w:type="gramEnd"/>
    </w:p>
    <w:p w14:paraId="73A783E8" w14:textId="77777777" w:rsidR="00EC45B1" w:rsidRPr="007F5ECF" w:rsidRDefault="00000000">
      <w:pPr>
        <w:widowControl w:val="0"/>
        <w:contextualSpacing/>
        <w:jc w:val="both"/>
        <w:rPr>
          <w:sz w:val="22"/>
          <w:szCs w:val="22"/>
          <w:lang w:val="fr-FR"/>
        </w:rPr>
      </w:pPr>
      <w:r w:rsidRPr="007F5ECF">
        <w:rPr>
          <w:sz w:val="22"/>
          <w:szCs w:val="22"/>
          <w:lang w:val="fr-FR"/>
        </w:rPr>
        <w:t>L’an [</w:t>
      </w:r>
      <w:r w:rsidRPr="007F5ECF">
        <w:rPr>
          <w:sz w:val="22"/>
          <w:szCs w:val="22"/>
          <w:highlight w:val="yellow"/>
          <w:lang w:val="fr-FR"/>
        </w:rPr>
        <w:t>année en lettres</w:t>
      </w:r>
      <w:r w:rsidRPr="007F5ECF">
        <w:rPr>
          <w:sz w:val="22"/>
          <w:szCs w:val="22"/>
          <w:lang w:val="fr-FR"/>
        </w:rPr>
        <w:t>], le [</w:t>
      </w:r>
      <w:r w:rsidRPr="007F5ECF">
        <w:rPr>
          <w:sz w:val="22"/>
          <w:szCs w:val="22"/>
          <w:highlight w:val="yellow"/>
          <w:lang w:val="fr-FR"/>
        </w:rPr>
        <w:t>jour et mois en lettres</w:t>
      </w:r>
      <w:r w:rsidRPr="007F5ECF">
        <w:rPr>
          <w:sz w:val="22"/>
          <w:szCs w:val="22"/>
          <w:lang w:val="fr-FR"/>
        </w:rPr>
        <w:t>].</w:t>
      </w:r>
    </w:p>
    <w:p w14:paraId="7C7C4DD8" w14:textId="77777777" w:rsidR="00EC45B1" w:rsidRPr="007F5ECF" w:rsidRDefault="00000000">
      <w:pPr>
        <w:widowControl w:val="0"/>
        <w:contextualSpacing/>
        <w:jc w:val="both"/>
        <w:rPr>
          <w:sz w:val="22"/>
          <w:szCs w:val="22"/>
          <w:lang w:val="fr-FR"/>
        </w:rPr>
      </w:pPr>
      <w:r w:rsidRPr="007F5ECF">
        <w:rPr>
          <w:sz w:val="22"/>
          <w:szCs w:val="22"/>
          <w:lang w:val="fr-FR"/>
        </w:rPr>
        <w:t xml:space="preserve">Par-devant Nous, </w:t>
      </w:r>
      <w:r w:rsidRPr="007F5ECF">
        <w:rPr>
          <w:b/>
          <w:bCs/>
          <w:sz w:val="22"/>
          <w:szCs w:val="22"/>
          <w:lang w:val="fr-FR"/>
        </w:rPr>
        <w:t>Maître</w:t>
      </w:r>
      <w:r w:rsidRPr="007F5ECF">
        <w:rPr>
          <w:b/>
          <w:sz w:val="22"/>
          <w:szCs w:val="22"/>
          <w:lang w:val="fr-FR"/>
        </w:rPr>
        <w:t xml:space="preserve"> </w:t>
      </w:r>
      <w:r w:rsidRPr="007F5ECF">
        <w:rPr>
          <w:b/>
          <w:sz w:val="22"/>
          <w:szCs w:val="22"/>
          <w:lang w:val="fr-CH"/>
        </w:rPr>
        <w:t>[</w:t>
      </w:r>
      <w:r w:rsidRPr="007F5ECF">
        <w:rPr>
          <w:b/>
          <w:sz w:val="22"/>
          <w:szCs w:val="22"/>
          <w:highlight w:val="yellow"/>
          <w:lang w:val="fr-CH"/>
        </w:rPr>
        <w:t>nom du notaire</w:t>
      </w:r>
      <w:r w:rsidRPr="007F5ECF">
        <w:rPr>
          <w:b/>
          <w:sz w:val="22"/>
          <w:szCs w:val="22"/>
          <w:lang w:val="fr-CH"/>
        </w:rPr>
        <w:t>]</w:t>
      </w:r>
      <w:r w:rsidRPr="007F5ECF">
        <w:rPr>
          <w:sz w:val="22"/>
          <w:szCs w:val="22"/>
          <w:lang w:val="fr-CH"/>
        </w:rPr>
        <w:t>,</w:t>
      </w:r>
      <w:r w:rsidRPr="007F5ECF">
        <w:rPr>
          <w:b/>
          <w:bCs/>
          <w:sz w:val="22"/>
          <w:szCs w:val="22"/>
          <w:lang w:val="fr-CH"/>
        </w:rPr>
        <w:t xml:space="preserve"> </w:t>
      </w:r>
      <w:r w:rsidRPr="007F5ECF">
        <w:rPr>
          <w:sz w:val="22"/>
          <w:szCs w:val="22"/>
          <w:lang w:val="fr-FR"/>
        </w:rPr>
        <w:t xml:space="preserve">notaire de résidence à </w:t>
      </w:r>
      <w:r w:rsidRPr="007F5ECF">
        <w:rPr>
          <w:sz w:val="22"/>
          <w:szCs w:val="22"/>
          <w:lang w:val="fr-BE"/>
        </w:rPr>
        <w:t>[</w:t>
      </w:r>
      <w:r w:rsidRPr="007F5ECF">
        <w:rPr>
          <w:sz w:val="22"/>
          <w:szCs w:val="22"/>
          <w:highlight w:val="yellow"/>
          <w:lang w:val="fr-BE"/>
        </w:rPr>
        <w:t>adresse de l’office notarial</w:t>
      </w:r>
      <w:r w:rsidRPr="007F5ECF">
        <w:rPr>
          <w:sz w:val="22"/>
          <w:szCs w:val="22"/>
          <w:lang w:val="fr-BE"/>
        </w:rPr>
        <w:t>]</w:t>
      </w:r>
      <w:r w:rsidRPr="007F5ECF">
        <w:rPr>
          <w:sz w:val="22"/>
          <w:szCs w:val="22"/>
          <w:lang w:val="fr-CH"/>
        </w:rPr>
        <w:t>,</w:t>
      </w:r>
      <w:r w:rsidRPr="007F5ECF">
        <w:rPr>
          <w:sz w:val="22"/>
          <w:szCs w:val="22"/>
          <w:lang w:val="fr-BE"/>
        </w:rPr>
        <w:t xml:space="preserve"> Grand-Duché de Luxembourg</w:t>
      </w:r>
      <w:r w:rsidRPr="007F5ECF">
        <w:rPr>
          <w:sz w:val="22"/>
          <w:szCs w:val="22"/>
          <w:lang w:val="fr-FR"/>
        </w:rPr>
        <w:t>.</w:t>
      </w:r>
    </w:p>
    <w:p w14:paraId="47C34D55" w14:textId="77777777" w:rsidR="00EC45B1" w:rsidRPr="007F5ECF" w:rsidRDefault="00EC45B1">
      <w:pPr>
        <w:widowControl w:val="0"/>
        <w:contextualSpacing/>
        <w:jc w:val="both"/>
        <w:rPr>
          <w:b/>
          <w:sz w:val="22"/>
          <w:szCs w:val="22"/>
          <w:lang w:val="fr-CH"/>
        </w:rPr>
      </w:pPr>
    </w:p>
    <w:p w14:paraId="2A7A8514" w14:textId="77777777" w:rsidR="00EC45B1" w:rsidRPr="007F5ECF" w:rsidRDefault="00000000">
      <w:pPr>
        <w:widowControl w:val="0"/>
        <w:contextualSpacing/>
        <w:jc w:val="both"/>
        <w:rPr>
          <w:sz w:val="22"/>
          <w:szCs w:val="22"/>
          <w:lang w:val="fr-CH"/>
        </w:rPr>
      </w:pPr>
      <w:r w:rsidRPr="007F5ECF">
        <w:rPr>
          <w:b/>
          <w:sz w:val="22"/>
          <w:szCs w:val="22"/>
          <w:lang w:val="fr-CH"/>
        </w:rPr>
        <w:t xml:space="preserve">ONT </w:t>
      </w:r>
      <w:proofErr w:type="gramStart"/>
      <w:r w:rsidRPr="007F5ECF">
        <w:rPr>
          <w:b/>
          <w:sz w:val="22"/>
          <w:szCs w:val="22"/>
          <w:lang w:val="fr-CH"/>
        </w:rPr>
        <w:t>COMPARU</w:t>
      </w:r>
      <w:r w:rsidRPr="007F5ECF">
        <w:rPr>
          <w:sz w:val="22"/>
          <w:szCs w:val="22"/>
          <w:lang w:val="fr-CH"/>
        </w:rPr>
        <w:t>:</w:t>
      </w:r>
      <w:proofErr w:type="gramEnd"/>
    </w:p>
    <w:p w14:paraId="395029E1" w14:textId="77777777" w:rsidR="00EC45B1" w:rsidRPr="007F5ECF" w:rsidRDefault="00EC45B1">
      <w:pPr>
        <w:widowControl w:val="0"/>
        <w:contextualSpacing/>
        <w:jc w:val="both"/>
        <w:rPr>
          <w:sz w:val="22"/>
          <w:szCs w:val="22"/>
          <w:lang w:val="fr-CH"/>
        </w:rPr>
      </w:pPr>
    </w:p>
    <w:p w14:paraId="53637FDE" w14:textId="77777777" w:rsidR="00EC45B1" w:rsidRPr="007F5ECF" w:rsidRDefault="00000000">
      <w:pPr>
        <w:pStyle w:val="ListParagraph"/>
        <w:widowControl w:val="0"/>
        <w:numPr>
          <w:ilvl w:val="0"/>
          <w:numId w:val="10"/>
        </w:numPr>
        <w:ind w:left="450" w:hanging="270"/>
        <w:jc w:val="both"/>
        <w:rPr>
          <w:rFonts w:cstheme="minorHAnsi"/>
          <w:sz w:val="22"/>
          <w:szCs w:val="22"/>
          <w:lang w:val="fr-CH"/>
        </w:rPr>
      </w:pPr>
      <w:r w:rsidRPr="007F5ECF">
        <w:rPr>
          <w:b/>
          <w:sz w:val="22"/>
          <w:szCs w:val="22"/>
          <w:lang w:val="fr-CH"/>
        </w:rPr>
        <w:t>[</w:t>
      </w:r>
      <w:proofErr w:type="gramStart"/>
      <w:r w:rsidRPr="007F5ECF">
        <w:rPr>
          <w:b/>
          <w:sz w:val="22"/>
          <w:szCs w:val="22"/>
          <w:highlight w:val="yellow"/>
          <w:lang w:val="fr-CH"/>
        </w:rPr>
        <w:t>nom</w:t>
      </w:r>
      <w:proofErr w:type="gramEnd"/>
      <w:r w:rsidRPr="007F5ECF">
        <w:rPr>
          <w:b/>
          <w:sz w:val="22"/>
          <w:szCs w:val="22"/>
          <w:highlight w:val="yellow"/>
          <w:lang w:val="fr-CH"/>
        </w:rPr>
        <w:t xml:space="preserve"> de l’associé</w:t>
      </w:r>
      <w:r w:rsidRPr="007F5ECF">
        <w:rPr>
          <w:rStyle w:val="FootnoteReference"/>
          <w:b/>
          <w:sz w:val="22"/>
          <w:szCs w:val="22"/>
          <w:highlight w:val="yellow"/>
          <w:lang w:val="fr-CH"/>
        </w:rPr>
        <w:footnoteReference w:id="11"/>
      </w:r>
      <w:r w:rsidRPr="007F5ECF">
        <w:rPr>
          <w:rFonts w:cstheme="minorHAnsi"/>
          <w:b/>
          <w:sz w:val="22"/>
          <w:szCs w:val="22"/>
          <w:lang w:val="fr-CH"/>
        </w:rPr>
        <w:t>]</w:t>
      </w:r>
      <w:r w:rsidRPr="007F5ECF">
        <w:rPr>
          <w:rFonts w:cstheme="minorHAnsi"/>
          <w:bCs/>
          <w:sz w:val="22"/>
          <w:szCs w:val="22"/>
          <w:lang w:val="fr-CH"/>
        </w:rPr>
        <w:t xml:space="preserve">, </w:t>
      </w:r>
      <w:r w:rsidRPr="007F5ECF">
        <w:rPr>
          <w:rFonts w:cstheme="minorHAnsi"/>
          <w:sz w:val="22"/>
          <w:szCs w:val="22"/>
          <w:lang w:val="fr-FR" w:eastAsia="zh-CN"/>
        </w:rPr>
        <w:t>une [</w:t>
      </w:r>
      <w:r w:rsidRPr="007F5ECF">
        <w:rPr>
          <w:rFonts w:cstheme="minorHAnsi"/>
          <w:i/>
          <w:iCs/>
          <w:sz w:val="22"/>
          <w:szCs w:val="22"/>
          <w:highlight w:val="yellow"/>
          <w:lang w:val="fr-FR" w:eastAsia="zh-CN"/>
        </w:rPr>
        <w:t>forme juridique si société</w:t>
      </w:r>
      <w:r w:rsidRPr="007F5ECF">
        <w:rPr>
          <w:rFonts w:cstheme="minorHAnsi"/>
          <w:sz w:val="22"/>
          <w:szCs w:val="22"/>
          <w:lang w:val="fr-FR" w:eastAsia="zh-CN"/>
        </w:rPr>
        <w:t>] constituée et opérant sous le droit de/du [</w:t>
      </w:r>
      <w:r w:rsidRPr="007F5ECF">
        <w:rPr>
          <w:rFonts w:cstheme="minorHAnsi"/>
          <w:sz w:val="22"/>
          <w:szCs w:val="22"/>
          <w:highlight w:val="yellow"/>
          <w:lang w:val="fr-FR" w:eastAsia="zh-CN"/>
        </w:rPr>
        <w:t>pays</w:t>
      </w:r>
      <w:r w:rsidRPr="007F5ECF">
        <w:rPr>
          <w:rFonts w:cstheme="minorHAnsi"/>
          <w:sz w:val="22"/>
          <w:szCs w:val="22"/>
          <w:lang w:val="fr-FR" w:eastAsia="zh-CN"/>
        </w:rPr>
        <w:t>], immatriculée auprès de/du [</w:t>
      </w:r>
      <w:r w:rsidRPr="007F5ECF">
        <w:rPr>
          <w:rFonts w:cstheme="minorHAnsi"/>
          <w:sz w:val="22"/>
          <w:szCs w:val="22"/>
          <w:highlight w:val="yellow"/>
          <w:lang w:val="fr-FR" w:eastAsia="zh-CN"/>
        </w:rPr>
        <w:t>nom du registre national local</w:t>
      </w:r>
      <w:r w:rsidRPr="007F5ECF">
        <w:rPr>
          <w:rFonts w:cstheme="minorHAnsi"/>
          <w:sz w:val="22"/>
          <w:szCs w:val="22"/>
          <w:lang w:val="fr-FR" w:eastAsia="zh-CN"/>
        </w:rPr>
        <w:t>] sous le numéro [</w:t>
      </w:r>
      <w:r w:rsidRPr="007F5ECF">
        <w:rPr>
          <w:rFonts w:cstheme="minorHAnsi"/>
          <w:sz w:val="22"/>
          <w:szCs w:val="22"/>
          <w:highlight w:val="yellow"/>
          <w:lang w:val="fr-FR" w:eastAsia="zh-CN"/>
        </w:rPr>
        <w:t>numéro local d’identification de la société</w:t>
      </w:r>
      <w:r w:rsidRPr="007F5ECF">
        <w:rPr>
          <w:rFonts w:cstheme="minorHAnsi"/>
          <w:sz w:val="22"/>
          <w:szCs w:val="22"/>
          <w:lang w:val="fr-FR" w:eastAsia="zh-CN"/>
        </w:rPr>
        <w:t>] ayant son siège social au [</w:t>
      </w:r>
      <w:r w:rsidRPr="007F5ECF">
        <w:rPr>
          <w:rFonts w:cstheme="minorHAnsi"/>
          <w:sz w:val="22"/>
          <w:szCs w:val="22"/>
          <w:highlight w:val="yellow"/>
          <w:lang w:val="fr-FR" w:eastAsia="zh-CN"/>
        </w:rPr>
        <w:t>adresse complète</w:t>
      </w:r>
      <w:r w:rsidRPr="007F5ECF">
        <w:rPr>
          <w:rFonts w:cstheme="minorHAnsi"/>
          <w:sz w:val="22"/>
          <w:szCs w:val="22"/>
          <w:lang w:val="fr-FR" w:eastAsia="zh-CN"/>
        </w:rPr>
        <w:t>],</w:t>
      </w:r>
    </w:p>
    <w:p w14:paraId="2B2D4D67" w14:textId="77777777" w:rsidR="00EC45B1" w:rsidRPr="007F5ECF" w:rsidRDefault="00000000">
      <w:pPr>
        <w:pStyle w:val="ListParagraph"/>
        <w:widowControl w:val="0"/>
        <w:numPr>
          <w:ilvl w:val="0"/>
          <w:numId w:val="10"/>
        </w:numPr>
        <w:ind w:left="426" w:hanging="284"/>
        <w:jc w:val="both"/>
        <w:rPr>
          <w:sz w:val="22"/>
          <w:szCs w:val="22"/>
          <w:lang w:val="fr-CH"/>
        </w:rPr>
      </w:pPr>
      <w:r w:rsidRPr="007F5ECF">
        <w:rPr>
          <w:b/>
          <w:sz w:val="22"/>
          <w:szCs w:val="22"/>
          <w:lang w:val="fr-CH"/>
        </w:rPr>
        <w:t>[</w:t>
      </w:r>
      <w:proofErr w:type="gramStart"/>
      <w:r w:rsidRPr="007F5ECF">
        <w:rPr>
          <w:b/>
          <w:sz w:val="22"/>
          <w:szCs w:val="22"/>
          <w:highlight w:val="yellow"/>
          <w:lang w:val="fr-CH"/>
        </w:rPr>
        <w:t>nom</w:t>
      </w:r>
      <w:proofErr w:type="gramEnd"/>
      <w:r w:rsidRPr="007F5ECF">
        <w:rPr>
          <w:b/>
          <w:sz w:val="22"/>
          <w:szCs w:val="22"/>
          <w:highlight w:val="yellow"/>
          <w:lang w:val="fr-CH"/>
        </w:rPr>
        <w:t xml:space="preserve"> de l’associé</w:t>
      </w:r>
      <w:r w:rsidRPr="007F5ECF">
        <w:rPr>
          <w:b/>
          <w:sz w:val="22"/>
          <w:szCs w:val="22"/>
          <w:lang w:val="fr-CH"/>
        </w:rPr>
        <w:t>],</w:t>
      </w:r>
      <w:r w:rsidRPr="007F5ECF">
        <w:rPr>
          <w:sz w:val="22"/>
          <w:szCs w:val="22"/>
          <w:lang w:val="fr-CH"/>
        </w:rPr>
        <w:t xml:space="preserve"> …,</w:t>
      </w:r>
    </w:p>
    <w:p w14:paraId="03FF3586" w14:textId="77777777" w:rsidR="00EC45B1" w:rsidRPr="007F5ECF" w:rsidRDefault="00000000">
      <w:pPr>
        <w:pStyle w:val="ListParagraph"/>
        <w:widowControl w:val="0"/>
        <w:numPr>
          <w:ilvl w:val="0"/>
          <w:numId w:val="10"/>
        </w:numPr>
        <w:ind w:left="426" w:hanging="284"/>
        <w:jc w:val="both"/>
        <w:rPr>
          <w:sz w:val="22"/>
          <w:szCs w:val="22"/>
          <w:lang w:val="fr-CH"/>
        </w:rPr>
      </w:pPr>
      <w:r w:rsidRPr="007F5ECF">
        <w:rPr>
          <w:b/>
          <w:sz w:val="22"/>
          <w:szCs w:val="22"/>
          <w:lang w:val="fr-CH"/>
        </w:rPr>
        <w:t>[</w:t>
      </w:r>
      <w:proofErr w:type="gramStart"/>
      <w:r w:rsidRPr="007F5ECF">
        <w:rPr>
          <w:b/>
          <w:sz w:val="22"/>
          <w:szCs w:val="22"/>
          <w:highlight w:val="yellow"/>
          <w:lang w:val="fr-CH"/>
        </w:rPr>
        <w:t>nom</w:t>
      </w:r>
      <w:proofErr w:type="gramEnd"/>
      <w:r w:rsidRPr="007F5ECF">
        <w:rPr>
          <w:b/>
          <w:sz w:val="22"/>
          <w:szCs w:val="22"/>
          <w:highlight w:val="yellow"/>
          <w:lang w:val="fr-CH"/>
        </w:rPr>
        <w:t xml:space="preserve"> de l’associé</w:t>
      </w:r>
      <w:r w:rsidRPr="007F5ECF">
        <w:rPr>
          <w:b/>
          <w:sz w:val="22"/>
          <w:szCs w:val="22"/>
          <w:lang w:val="fr-CH"/>
        </w:rPr>
        <w:t>],</w:t>
      </w:r>
      <w:r w:rsidRPr="007F5ECF">
        <w:rPr>
          <w:sz w:val="22"/>
          <w:szCs w:val="22"/>
          <w:lang w:val="fr-CH"/>
        </w:rPr>
        <w:t xml:space="preserve"> …,</w:t>
      </w:r>
    </w:p>
    <w:p w14:paraId="70B505A2" w14:textId="77777777" w:rsidR="00EC45B1" w:rsidRPr="007F5ECF" w:rsidRDefault="00EC45B1">
      <w:pPr>
        <w:widowControl w:val="0"/>
        <w:contextualSpacing/>
        <w:jc w:val="both"/>
        <w:rPr>
          <w:sz w:val="22"/>
          <w:szCs w:val="22"/>
          <w:lang w:val="fr-CH"/>
        </w:rPr>
      </w:pPr>
    </w:p>
    <w:p w14:paraId="6BA5FB47" w14:textId="77777777" w:rsidR="00EC45B1" w:rsidRPr="007F5ECF" w:rsidRDefault="00000000">
      <w:pPr>
        <w:widowControl w:val="0"/>
        <w:contextualSpacing/>
        <w:jc w:val="both"/>
        <w:rPr>
          <w:sz w:val="22"/>
          <w:szCs w:val="22"/>
          <w:lang w:val="fr-CH"/>
        </w:rPr>
      </w:pPr>
      <w:r w:rsidRPr="007F5ECF">
        <w:rPr>
          <w:sz w:val="22"/>
          <w:szCs w:val="22"/>
          <w:lang w:val="fr-CH"/>
        </w:rPr>
        <w:t>Lesquelles comparantes, représentées comme indiqué ci-dessus, ont requis le notaire de constituer une société à responsabilité limitée ayant les statuts suivants :</w:t>
      </w:r>
    </w:p>
    <w:p w14:paraId="59A5D47E" w14:textId="77777777" w:rsidR="00EC45B1" w:rsidRDefault="00000000">
      <w:pPr>
        <w:pStyle w:val="AoALevel1ABC"/>
        <w:keepNext w:val="0"/>
        <w:widowControl w:val="0"/>
        <w:numPr>
          <w:ilvl w:val="0"/>
          <w:numId w:val="62"/>
        </w:numPr>
        <w:pBdr>
          <w:bottom w:val="single" w:sz="6" w:space="4" w:color="1F4E5F"/>
        </w:pBdr>
        <w:tabs>
          <w:tab w:val="clear" w:pos="680"/>
          <w:tab w:val="left" w:pos="284"/>
        </w:tabs>
        <w:spacing w:before="360" w:after="240"/>
        <w:contextualSpacing/>
        <w:rPr>
          <w:lang w:val="fr-LU"/>
        </w:rPr>
      </w:pPr>
      <w:r>
        <w:rPr>
          <w:lang w:val="fr-LU"/>
        </w:rPr>
        <w:t>denomination - OBJET social - DURÉE - SIÈGE SOCIAL</w:t>
      </w:r>
    </w:p>
    <w:p w14:paraId="49D5CFCC" w14:textId="77777777" w:rsidR="00EC45B1" w:rsidRDefault="00000000">
      <w:pPr>
        <w:pStyle w:val="AoALevel2Article1"/>
        <w:keepNext w:val="0"/>
        <w:widowControl w:val="0"/>
        <w:numPr>
          <w:ilvl w:val="1"/>
          <w:numId w:val="63"/>
        </w:numPr>
        <w:spacing w:before="120" w:after="0"/>
        <w:ind w:hanging="1986"/>
        <w:contextualSpacing/>
        <w:rPr>
          <w:lang w:val="fr-LU"/>
        </w:rPr>
      </w:pPr>
      <w:r>
        <w:rPr>
          <w:lang w:val="fr-LU"/>
        </w:rPr>
        <w:t xml:space="preserve"> Dénomination - Forme</w:t>
      </w:r>
    </w:p>
    <w:p w14:paraId="2A919FC6" w14:textId="77777777" w:rsidR="00EC45B1" w:rsidRDefault="00000000">
      <w:pPr>
        <w:widowControl w:val="0"/>
        <w:tabs>
          <w:tab w:val="left" w:pos="1134"/>
        </w:tabs>
        <w:contextualSpacing/>
        <w:jc w:val="both"/>
        <w:rPr>
          <w:szCs w:val="22"/>
          <w:lang w:val="fr-LU"/>
        </w:rPr>
      </w:pPr>
      <w:r>
        <w:rPr>
          <w:szCs w:val="22"/>
          <w:lang w:val="fr-LU"/>
        </w:rPr>
        <w:t>Il existe une société à responsabilité limitée sous la dénomination de « </w:t>
      </w:r>
      <w:r>
        <w:rPr>
          <w:b/>
          <w:szCs w:val="22"/>
          <w:lang w:val="fr-LU"/>
        </w:rPr>
        <w:t xml:space="preserve">XXX </w:t>
      </w:r>
      <w:proofErr w:type="spellStart"/>
      <w:r>
        <w:rPr>
          <w:b/>
          <w:szCs w:val="22"/>
          <w:lang w:val="fr-LU"/>
        </w:rPr>
        <w:t>S.à</w:t>
      </w:r>
      <w:proofErr w:type="spellEnd"/>
      <w:r>
        <w:rPr>
          <w:b/>
          <w:szCs w:val="22"/>
          <w:lang w:val="fr-LU"/>
        </w:rPr>
        <w:t xml:space="preserve"> </w:t>
      </w:r>
      <w:proofErr w:type="spellStart"/>
      <w:proofErr w:type="gramStart"/>
      <w:r>
        <w:rPr>
          <w:b/>
          <w:szCs w:val="22"/>
          <w:lang w:val="fr-LU"/>
        </w:rPr>
        <w:t>r.l</w:t>
      </w:r>
      <w:proofErr w:type="spellEnd"/>
      <w:r>
        <w:rPr>
          <w:b/>
          <w:szCs w:val="22"/>
          <w:lang w:val="fr-LU"/>
        </w:rPr>
        <w:t>.</w:t>
      </w:r>
      <w:r>
        <w:rPr>
          <w:szCs w:val="22"/>
          <w:lang w:val="fr-LU"/>
        </w:rPr>
        <w:t>»</w:t>
      </w:r>
      <w:proofErr w:type="gramEnd"/>
      <w:r>
        <w:rPr>
          <w:szCs w:val="22"/>
          <w:lang w:val="fr-LU"/>
        </w:rPr>
        <w:t xml:space="preserve"> (ci-après la « </w:t>
      </w:r>
      <w:r>
        <w:rPr>
          <w:b/>
          <w:szCs w:val="22"/>
          <w:lang w:val="fr-LU"/>
        </w:rPr>
        <w:t>Société</w:t>
      </w:r>
      <w:r>
        <w:rPr>
          <w:szCs w:val="22"/>
          <w:lang w:val="fr-LU"/>
        </w:rPr>
        <w:t> ») qui sera régie par la loi du 10 août 1915 concernant les sociétés commerciales, telle que modifiée (la « </w:t>
      </w:r>
      <w:r>
        <w:rPr>
          <w:b/>
          <w:szCs w:val="22"/>
          <w:lang w:val="fr-LU"/>
        </w:rPr>
        <w:t>Loi</w:t>
      </w:r>
      <w:r>
        <w:rPr>
          <w:szCs w:val="22"/>
          <w:lang w:val="fr-LU"/>
        </w:rPr>
        <w:t xml:space="preserve"> »), ainsi que par les présents statuts. </w:t>
      </w:r>
    </w:p>
    <w:p w14:paraId="2FAB4087" w14:textId="77777777" w:rsidR="00EC45B1" w:rsidRDefault="00000000">
      <w:pPr>
        <w:pStyle w:val="AoALevel2Article1"/>
        <w:keepNext w:val="0"/>
        <w:widowControl w:val="0"/>
        <w:numPr>
          <w:ilvl w:val="1"/>
          <w:numId w:val="64"/>
        </w:numPr>
        <w:spacing w:before="120" w:after="0"/>
        <w:ind w:left="1987" w:hanging="1987"/>
        <w:contextualSpacing/>
        <w:rPr>
          <w:lang w:val="fr-LU"/>
        </w:rPr>
      </w:pPr>
      <w:r>
        <w:rPr>
          <w:lang w:val="fr-LU"/>
        </w:rPr>
        <w:t xml:space="preserve"> Objet social</w:t>
      </w:r>
      <w:r>
        <w:rPr>
          <w:rStyle w:val="FootnoteReference"/>
          <w:lang w:val="fr-LU"/>
        </w:rPr>
        <w:footnoteReference w:id="12"/>
      </w:r>
    </w:p>
    <w:p w14:paraId="57D74D77" w14:textId="77777777" w:rsidR="00EC45B1" w:rsidRDefault="00000000">
      <w:pPr>
        <w:widowControl w:val="0"/>
        <w:tabs>
          <w:tab w:val="left" w:pos="1134"/>
        </w:tabs>
        <w:contextualSpacing/>
        <w:jc w:val="both"/>
        <w:rPr>
          <w:rFonts w:cstheme="minorHAnsi"/>
          <w:b/>
          <w:bCs/>
          <w:i/>
          <w:iCs/>
          <w:highlight w:val="cyan"/>
          <w:lang w:val="fr-FR"/>
        </w:rPr>
      </w:pPr>
      <w:r>
        <w:rPr>
          <w:rFonts w:cstheme="minorHAnsi"/>
          <w:b/>
          <w:bCs/>
          <w:i/>
          <w:iCs/>
          <w:highlight w:val="cyan"/>
          <w:lang w:val="fr-FR"/>
        </w:rPr>
        <w:t>Exemples d’objet social :</w:t>
      </w:r>
    </w:p>
    <w:p w14:paraId="79C3A093" w14:textId="77777777" w:rsidR="00EC45B1" w:rsidRDefault="00EC45B1">
      <w:pPr>
        <w:widowControl w:val="0"/>
        <w:tabs>
          <w:tab w:val="left" w:pos="1134"/>
        </w:tabs>
        <w:contextualSpacing/>
        <w:jc w:val="both"/>
        <w:rPr>
          <w:rFonts w:cstheme="minorHAnsi"/>
          <w:b/>
          <w:bCs/>
          <w:i/>
          <w:iCs/>
          <w:highlight w:val="cyan"/>
          <w:lang w:val="fr-FR"/>
        </w:rPr>
      </w:pPr>
    </w:p>
    <w:p w14:paraId="60F41924" w14:textId="77777777" w:rsidR="00EC45B1" w:rsidRDefault="00000000">
      <w:pPr>
        <w:widowControl w:val="0"/>
        <w:tabs>
          <w:tab w:val="left" w:pos="1134"/>
        </w:tabs>
        <w:contextualSpacing/>
        <w:jc w:val="both"/>
        <w:rPr>
          <w:rFonts w:cstheme="minorHAnsi"/>
          <w:i/>
          <w:iCs/>
          <w:highlight w:val="cyan"/>
          <w:lang w:val="fr-FR"/>
        </w:rPr>
      </w:pPr>
      <w:r>
        <w:rPr>
          <w:rFonts w:cstheme="minorHAnsi"/>
          <w:i/>
          <w:iCs/>
          <w:highlight w:val="cyan"/>
          <w:lang w:val="fr-FR"/>
        </w:rPr>
        <w:t>Objet social à personnaliser :</w:t>
      </w:r>
    </w:p>
    <w:p w14:paraId="0F757018" w14:textId="77777777" w:rsidR="00EC45B1" w:rsidRDefault="00000000">
      <w:pPr>
        <w:pStyle w:val="AoALevel3Article11"/>
        <w:widowControl w:val="0"/>
        <w:numPr>
          <w:ilvl w:val="2"/>
          <w:numId w:val="65"/>
        </w:numPr>
        <w:spacing w:after="0"/>
        <w:ind w:left="426" w:hanging="426"/>
        <w:contextualSpacing/>
        <w:rPr>
          <w:lang w:val="fr-LU"/>
        </w:rPr>
      </w:pPr>
      <w:r>
        <w:rPr>
          <w:lang w:val="fr-LU"/>
        </w:rPr>
        <w:t xml:space="preserve">La Société a pour objet </w:t>
      </w:r>
      <w:r>
        <w:rPr>
          <w:rFonts w:cstheme="minorHAnsi"/>
          <w:lang w:val="fr-FR"/>
        </w:rPr>
        <w:t>[</w:t>
      </w:r>
      <w:r>
        <w:rPr>
          <w:rFonts w:cstheme="minorHAnsi"/>
          <w:highlight w:val="yellow"/>
          <w:lang w:val="fr-FR"/>
        </w:rPr>
        <w:t>description de l’objet social</w:t>
      </w:r>
      <w:r>
        <w:rPr>
          <w:rFonts w:cstheme="minorHAnsi"/>
          <w:lang w:val="fr-FR"/>
        </w:rPr>
        <w:t>].</w:t>
      </w:r>
    </w:p>
    <w:p w14:paraId="2759FF6B" w14:textId="77777777" w:rsidR="00EC45B1" w:rsidRDefault="00000000">
      <w:pPr>
        <w:pStyle w:val="AoALevel3Article11"/>
        <w:widowControl w:val="0"/>
        <w:numPr>
          <w:ilvl w:val="2"/>
          <w:numId w:val="66"/>
        </w:numPr>
        <w:spacing w:after="0"/>
        <w:ind w:left="426" w:hanging="426"/>
        <w:contextualSpacing/>
        <w:rPr>
          <w:lang w:val="fr-LU"/>
        </w:rPr>
      </w:pPr>
      <w:r>
        <w:rPr>
          <w:lang w:val="fr-LU"/>
        </w:rPr>
        <w:t>En outre, la Société peut accomplir toute opération financière, juridique, commerciale et technique et, en général, prendre toute mesure de contrôle et de surveillance et faire toute opération ou transaction qu’elle jugera utile ou nécessaire à l’accomplissement ou au développement de son objet.</w:t>
      </w:r>
    </w:p>
    <w:p w14:paraId="42A87646" w14:textId="77777777" w:rsidR="00EC45B1" w:rsidRDefault="00EC45B1">
      <w:pPr>
        <w:pStyle w:val="AoALevel3Article11"/>
        <w:widowControl w:val="0"/>
        <w:numPr>
          <w:ilvl w:val="0"/>
          <w:numId w:val="0"/>
        </w:numPr>
        <w:spacing w:after="0"/>
        <w:contextualSpacing/>
        <w:rPr>
          <w:lang w:val="fr-LU"/>
        </w:rPr>
      </w:pPr>
    </w:p>
    <w:p w14:paraId="53CE436E" w14:textId="77777777" w:rsidR="00EC45B1" w:rsidRDefault="00000000">
      <w:pPr>
        <w:widowControl w:val="0"/>
        <w:tabs>
          <w:tab w:val="left" w:pos="1134"/>
        </w:tabs>
        <w:contextualSpacing/>
        <w:jc w:val="both"/>
        <w:rPr>
          <w:rFonts w:cstheme="minorHAnsi"/>
          <w:i/>
          <w:iCs/>
          <w:highlight w:val="cyan"/>
          <w:lang w:val="fr-FR"/>
        </w:rPr>
      </w:pPr>
      <w:r>
        <w:rPr>
          <w:rFonts w:cstheme="minorHAnsi"/>
          <w:i/>
          <w:iCs/>
          <w:highlight w:val="cyan"/>
          <w:lang w:val="fr-FR"/>
        </w:rPr>
        <w:t>Exemple d’objet social pour une société destinée à détenir des participations financières :</w:t>
      </w:r>
    </w:p>
    <w:p w14:paraId="2AFDB14C" w14:textId="77777777" w:rsidR="00EC45B1" w:rsidRDefault="00000000">
      <w:pPr>
        <w:pStyle w:val="AoALevel3Article11"/>
        <w:widowControl w:val="0"/>
        <w:numPr>
          <w:ilvl w:val="2"/>
          <w:numId w:val="67"/>
        </w:numPr>
        <w:spacing w:after="0"/>
        <w:ind w:left="450" w:hanging="450"/>
        <w:contextualSpacing/>
        <w:rPr>
          <w:lang w:val="fr-LU"/>
        </w:rPr>
      </w:pPr>
      <w:r>
        <w:rPr>
          <w:lang w:val="fr-LU"/>
        </w:rPr>
        <w:t>La société a pour objet la prise de participations, sous quelque forme que ce soit, dans des entreprises luxembourgeoises ou étrangères, l'acquisition par achat, souscription ou de toute autre manière, ainsi que l'aliénation par vente, échange ou de toute autre manière de titres, obligations, créances, billets et autres valeurs de toutes espèces, la possession, l'administration, le développement et la gestion de son portefeuille.</w:t>
      </w:r>
    </w:p>
    <w:p w14:paraId="61877E62" w14:textId="77777777" w:rsidR="00EC45B1" w:rsidRDefault="00000000">
      <w:pPr>
        <w:pStyle w:val="AoALevel3Article11"/>
        <w:widowControl w:val="0"/>
        <w:numPr>
          <w:ilvl w:val="2"/>
          <w:numId w:val="68"/>
        </w:numPr>
        <w:spacing w:after="0"/>
        <w:ind w:left="426" w:hanging="426"/>
        <w:contextualSpacing/>
        <w:rPr>
          <w:lang w:val="fr-LU"/>
        </w:rPr>
      </w:pPr>
      <w:r>
        <w:rPr>
          <w:lang w:val="fr-LU"/>
        </w:rPr>
        <w:t>La société peut participer à la création et au développement de n'importe quelle entreprise financière, industrielle ou commerciale et prêter tous concours, que ce soit par des prêts, garanties ou de toute autre manière à des sociétés filiales ou affiliées. La société peut emprunter sous toutes les formes.</w:t>
      </w:r>
    </w:p>
    <w:p w14:paraId="26086446" w14:textId="77777777" w:rsidR="00EC45B1" w:rsidRDefault="00000000">
      <w:pPr>
        <w:pStyle w:val="AoALevel3Article11"/>
        <w:widowControl w:val="0"/>
        <w:numPr>
          <w:ilvl w:val="2"/>
          <w:numId w:val="69"/>
        </w:numPr>
        <w:spacing w:after="0"/>
        <w:ind w:left="426" w:hanging="426"/>
        <w:contextualSpacing/>
        <w:rPr>
          <w:lang w:val="fr-LU"/>
        </w:rPr>
      </w:pPr>
      <w:r>
        <w:rPr>
          <w:lang w:val="fr-LU"/>
        </w:rPr>
        <w:t xml:space="preserve">La société peut emprunter, lever ou garantir le paiement de sommes d'argent de quelque manière que le conseil de gérance estime adéquate, incluant l'émission (dans le cadre permis par la loi luxembourgeoise) d'obligations et autres titres ou instruments financiers, perpétuels ou autre, convertibles ou non, à payer ou non sur la totalité ou une partie des biens de la Société (présents et futurs) ou sur son capital non encore libéré, et d'acheter, racheter, convertir et rembourser ces titres. </w:t>
      </w:r>
    </w:p>
    <w:p w14:paraId="2AFB8FC6" w14:textId="77777777" w:rsidR="00EC45B1" w:rsidRDefault="00000000">
      <w:pPr>
        <w:pStyle w:val="AoALevel3Article11"/>
        <w:widowControl w:val="0"/>
        <w:numPr>
          <w:ilvl w:val="2"/>
          <w:numId w:val="70"/>
        </w:numPr>
        <w:spacing w:after="0"/>
        <w:ind w:left="426" w:hanging="426"/>
        <w:contextualSpacing/>
        <w:rPr>
          <w:lang w:val="fr-LU"/>
        </w:rPr>
      </w:pPr>
      <w:r>
        <w:rPr>
          <w:lang w:val="fr-LU"/>
        </w:rPr>
        <w:lastRenderedPageBreak/>
        <w:t xml:space="preserve"> D'une façon générale, elle peut prendre toutes mesures de contrôle et de surveillance et faire toutes opérations financières, mobilières ou immobilières, commerciales et industrielles qu'elle jugera utiles à l'accomplissement ou au développement de son objet.</w:t>
      </w:r>
    </w:p>
    <w:p w14:paraId="0FC75734" w14:textId="77777777" w:rsidR="00EC45B1" w:rsidRDefault="00EC45B1">
      <w:pPr>
        <w:pStyle w:val="AoALevel3Article11"/>
        <w:widowControl w:val="0"/>
        <w:numPr>
          <w:ilvl w:val="0"/>
          <w:numId w:val="0"/>
        </w:numPr>
        <w:spacing w:after="0"/>
        <w:contextualSpacing/>
        <w:rPr>
          <w:lang w:val="fr-LU"/>
        </w:rPr>
      </w:pPr>
    </w:p>
    <w:p w14:paraId="6D69292C" w14:textId="77777777" w:rsidR="00EC45B1" w:rsidRDefault="00000000">
      <w:pPr>
        <w:widowControl w:val="0"/>
        <w:tabs>
          <w:tab w:val="left" w:pos="1134"/>
        </w:tabs>
        <w:contextualSpacing/>
        <w:jc w:val="both"/>
        <w:rPr>
          <w:rFonts w:cstheme="minorHAnsi"/>
          <w:i/>
          <w:iCs/>
          <w:highlight w:val="cyan"/>
          <w:lang w:val="fr-FR"/>
        </w:rPr>
      </w:pPr>
      <w:r>
        <w:rPr>
          <w:rFonts w:cstheme="minorHAnsi"/>
          <w:i/>
          <w:iCs/>
          <w:highlight w:val="cyan"/>
          <w:lang w:val="fr-FR"/>
        </w:rPr>
        <w:t>Exemple d’objet social pour une société destinées à détenir des biens immobiliers :</w:t>
      </w:r>
    </w:p>
    <w:p w14:paraId="765D8188" w14:textId="77777777" w:rsidR="00EC45B1" w:rsidRDefault="00000000">
      <w:pPr>
        <w:pStyle w:val="AoALevel3Article11"/>
        <w:widowControl w:val="0"/>
        <w:numPr>
          <w:ilvl w:val="2"/>
          <w:numId w:val="71"/>
        </w:numPr>
        <w:spacing w:after="0"/>
        <w:ind w:left="450" w:hanging="450"/>
        <w:contextualSpacing/>
        <w:rPr>
          <w:lang w:val="fr-LU"/>
        </w:rPr>
      </w:pPr>
      <w:r>
        <w:rPr>
          <w:lang w:val="fr-LU"/>
        </w:rPr>
        <w:t>La Société a pour objet toutes opérations se rapportant directement ou indirectement ä l'acquisition d'immeubles, de biens et de droits immobiliers au Grand-Duché de Luxembourg et ä l'étranger ainsi que toute participation dans toute entreprise immobilière ou affaire immobilière sous quelque forme que ce soit, et l'administration, la gestion, le contrôle et le développement de ces participations et de ces actifs.</w:t>
      </w:r>
    </w:p>
    <w:p w14:paraId="7C3F24AE" w14:textId="77777777" w:rsidR="00EC45B1" w:rsidRDefault="00000000">
      <w:pPr>
        <w:pStyle w:val="AoALevel3Article11"/>
        <w:widowControl w:val="0"/>
        <w:numPr>
          <w:ilvl w:val="2"/>
          <w:numId w:val="72"/>
        </w:numPr>
        <w:spacing w:after="0"/>
        <w:ind w:left="450" w:hanging="450"/>
        <w:contextualSpacing/>
        <w:rPr>
          <w:lang w:val="fr-LU"/>
        </w:rPr>
      </w:pPr>
      <w:r>
        <w:rPr>
          <w:lang w:val="fr-LU"/>
        </w:rPr>
        <w:t>La Société peut également détenir des participations, sous quelque forme que ce soit, dans des sociétés luxembourgeoises et étrangères, des sociétés en commandites ou tout autre type d'entité et toute autre forme d'investissement, l'aliénation par vente, souscription ou de toute autre manière ainsi que la cession par vente, échange ou autrement de titres de toute nature et l'administration, le contrôle et le développement de son portefeuille.</w:t>
      </w:r>
    </w:p>
    <w:p w14:paraId="1D6F252B" w14:textId="77777777" w:rsidR="00EC45B1" w:rsidRDefault="00000000">
      <w:pPr>
        <w:pStyle w:val="AoALevel3Article11"/>
        <w:widowControl w:val="0"/>
        <w:numPr>
          <w:ilvl w:val="2"/>
          <w:numId w:val="73"/>
        </w:numPr>
        <w:spacing w:after="0"/>
        <w:ind w:left="450" w:hanging="450"/>
        <w:contextualSpacing/>
        <w:rPr>
          <w:lang w:val="fr-LU"/>
        </w:rPr>
      </w:pPr>
      <w:r>
        <w:rPr>
          <w:lang w:val="fr-LU"/>
        </w:rPr>
        <w:t xml:space="preserve">La Société peut en outre donner des garanties (y compris des « </w:t>
      </w:r>
      <w:proofErr w:type="spellStart"/>
      <w:r>
        <w:rPr>
          <w:lang w:val="fr-LU"/>
        </w:rPr>
        <w:t>upstream</w:t>
      </w:r>
      <w:proofErr w:type="spellEnd"/>
      <w:r>
        <w:rPr>
          <w:lang w:val="fr-LU"/>
        </w:rPr>
        <w:t xml:space="preserve"> </w:t>
      </w:r>
      <w:proofErr w:type="spellStart"/>
      <w:r>
        <w:rPr>
          <w:lang w:val="fr-LU"/>
        </w:rPr>
        <w:t>guarantee</w:t>
      </w:r>
      <w:proofErr w:type="spellEnd"/>
      <w:r>
        <w:rPr>
          <w:lang w:val="fr-LU"/>
        </w:rPr>
        <w:t xml:space="preserve"> » en up-</w:t>
      </w:r>
      <w:proofErr w:type="spellStart"/>
      <w:r>
        <w:rPr>
          <w:lang w:val="fr-LU"/>
        </w:rPr>
        <w:t>stream</w:t>
      </w:r>
      <w:proofErr w:type="spellEnd"/>
      <w:r>
        <w:rPr>
          <w:lang w:val="fr-LU"/>
        </w:rPr>
        <w:t xml:space="preserve"> et « </w:t>
      </w:r>
      <w:proofErr w:type="spellStart"/>
      <w:r>
        <w:rPr>
          <w:lang w:val="fr-LU"/>
        </w:rPr>
        <w:t>side-stream</w:t>
      </w:r>
      <w:proofErr w:type="spellEnd"/>
      <w:r>
        <w:rPr>
          <w:lang w:val="fr-LU"/>
        </w:rPr>
        <w:t xml:space="preserve"> </w:t>
      </w:r>
      <w:proofErr w:type="spellStart"/>
      <w:r>
        <w:rPr>
          <w:lang w:val="fr-LU"/>
        </w:rPr>
        <w:t>guarantee</w:t>
      </w:r>
      <w:proofErr w:type="spellEnd"/>
      <w:r>
        <w:rPr>
          <w:lang w:val="fr-LU"/>
        </w:rPr>
        <w:t xml:space="preserve"> »), accorder des sûretés, accorder des prêts ou aider de toute autre manière des sociétés, y compris, sans limitation, des sociétés dans lesquelles elle détient une participation directe ou indirecte ou qui. </w:t>
      </w:r>
      <w:proofErr w:type="gramStart"/>
      <w:r>
        <w:rPr>
          <w:lang w:val="fr-LU"/>
        </w:rPr>
        <w:t>font</w:t>
      </w:r>
      <w:proofErr w:type="gramEnd"/>
      <w:r>
        <w:rPr>
          <w:lang w:val="fr-LU"/>
        </w:rPr>
        <w:t xml:space="preserve"> ou feront partie du même groupe de sociétés que la Société.</w:t>
      </w:r>
    </w:p>
    <w:p w14:paraId="4BF1A322" w14:textId="77777777" w:rsidR="00EC45B1" w:rsidRDefault="00000000">
      <w:pPr>
        <w:pStyle w:val="AoALevel3Article11"/>
        <w:widowControl w:val="0"/>
        <w:numPr>
          <w:ilvl w:val="2"/>
          <w:numId w:val="74"/>
        </w:numPr>
        <w:spacing w:after="0"/>
        <w:ind w:left="450" w:hanging="450"/>
        <w:contextualSpacing/>
        <w:rPr>
          <w:lang w:val="fr-LU"/>
        </w:rPr>
      </w:pPr>
      <w:r>
        <w:rPr>
          <w:lang w:val="fr-LU"/>
        </w:rPr>
        <w:t xml:space="preserve">La Société peut également acquérir des prêts, y compris ä escompte, octroyer des prêts et prêter des fonds sous quelque forme que ce soit, avancer de l'argent ou accorder des crédits ä quelque condition que ce soit, y compris sans limitation résultant de tout </w:t>
      </w:r>
      <w:proofErr w:type="spellStart"/>
      <w:r>
        <w:rPr>
          <w:lang w:val="fr-LU"/>
        </w:rPr>
        <w:t>emprunt</w:t>
      </w:r>
      <w:proofErr w:type="spellEnd"/>
      <w:r>
        <w:rPr>
          <w:lang w:val="fr-LU"/>
        </w:rPr>
        <w:t xml:space="preserve"> de la Société ou de l'émission de tout titre de participation ou de dette de quelque nature que ce soit ä toute personne ou entité qu'elle juge appropriée en relation avec toute entreprise ou affaire immobilière. La Société peut conclure des swaps, des contrats à terme, des contrats à terme de gré ä gré, des dérivés, des options, des opérations de rachat, des prêts de titres et des opérations similaires et, sans préjudice de la généralité de ce qui précède, utiliser toutes les techniques et tous les instruments en rapport avec ses activités immobilières.</w:t>
      </w:r>
    </w:p>
    <w:p w14:paraId="100C3841" w14:textId="77777777" w:rsidR="00EC45B1" w:rsidRDefault="00000000">
      <w:pPr>
        <w:pStyle w:val="AoALevel3Article11"/>
        <w:widowControl w:val="0"/>
        <w:numPr>
          <w:ilvl w:val="2"/>
          <w:numId w:val="75"/>
        </w:numPr>
        <w:spacing w:after="0"/>
        <w:ind w:left="450" w:hanging="450"/>
        <w:contextualSpacing/>
        <w:rPr>
          <w:lang w:val="fr-LU"/>
        </w:rPr>
      </w:pPr>
      <w:r>
        <w:rPr>
          <w:lang w:val="fr-LU"/>
        </w:rPr>
        <w:t>La Société peut également conclure des garanties, des contrats d'indemnisation, des sûretés et tout autre accord équivalent afin de recevoir le bénéfice de toute garantie et/ou sûreté accordée dans le cadre de ces activités immobilières. La Société peut assumer tous les rôles nécessaires dans le cadre d'une telle activité de prêt, y compris, sans limitation, le rôle d'arrangeur, de chef de file, d'agent du crédit et des sûretés, d'agent de documentation. La Société n'entreprendra pas de telles activités de prêt immobilier ou d'acquisition de prêts immobiliers d'une manière qui nécessiterait qu'elle soit réglementée en vertu de la loi luxembourgeoise du 5 avril 1993 relative au secteur financier, telle que modifiée, ou de toute loi ou réglementation future modifiant ou remplaçant cette loi.</w:t>
      </w:r>
    </w:p>
    <w:p w14:paraId="3FD6D47A" w14:textId="77777777" w:rsidR="00EC45B1" w:rsidRDefault="00000000">
      <w:pPr>
        <w:pStyle w:val="AoALevel3Article11"/>
        <w:widowControl w:val="0"/>
        <w:numPr>
          <w:ilvl w:val="2"/>
          <w:numId w:val="76"/>
        </w:numPr>
        <w:spacing w:after="0"/>
        <w:ind w:left="450" w:hanging="450"/>
        <w:contextualSpacing/>
        <w:rPr>
          <w:lang w:val="fr-LU"/>
        </w:rPr>
      </w:pPr>
      <w:r>
        <w:rPr>
          <w:lang w:val="fr-LU"/>
        </w:rPr>
        <w:t>La Société peut effectuer toutes opérations commerciales, techniques et financières ou autres, liées directement ou indirectement dans tous les domaines afin de faciliter la réalisation de ses objectifs.</w:t>
      </w:r>
    </w:p>
    <w:p w14:paraId="2FA2355F" w14:textId="77777777" w:rsidR="00EC45B1" w:rsidRDefault="00000000">
      <w:pPr>
        <w:pStyle w:val="AoALevel3Article11"/>
        <w:widowControl w:val="0"/>
        <w:numPr>
          <w:ilvl w:val="2"/>
          <w:numId w:val="77"/>
        </w:numPr>
        <w:spacing w:after="0"/>
        <w:ind w:left="450" w:hanging="450"/>
        <w:contextualSpacing/>
        <w:rPr>
          <w:lang w:val="fr-LU"/>
        </w:rPr>
      </w:pPr>
      <w:r>
        <w:rPr>
          <w:lang w:val="fr-LU"/>
        </w:rPr>
        <w:t>En particulier, la Société fournira aux entreprises de son portefeuille les services nécessaires ä leur administration, leur contrôle et leur développement. À cette fin, la Société peut demander et retenir l'aide d'autres conseillers.</w:t>
      </w:r>
    </w:p>
    <w:p w14:paraId="7CE64A4F" w14:textId="77777777" w:rsidR="00EC45B1" w:rsidRDefault="00EC45B1">
      <w:pPr>
        <w:pStyle w:val="AoALevel3Article11"/>
        <w:widowControl w:val="0"/>
        <w:numPr>
          <w:ilvl w:val="0"/>
          <w:numId w:val="0"/>
        </w:numPr>
        <w:spacing w:after="0"/>
        <w:contextualSpacing/>
        <w:rPr>
          <w:lang w:val="fr-FR"/>
        </w:rPr>
      </w:pPr>
    </w:p>
    <w:p w14:paraId="29BDBFDF" w14:textId="77777777" w:rsidR="00EC45B1" w:rsidRDefault="00000000">
      <w:pPr>
        <w:widowControl w:val="0"/>
        <w:tabs>
          <w:tab w:val="left" w:pos="1134"/>
        </w:tabs>
        <w:contextualSpacing/>
        <w:jc w:val="both"/>
        <w:rPr>
          <w:rFonts w:cstheme="minorHAnsi"/>
          <w:i/>
          <w:iCs/>
          <w:highlight w:val="cyan"/>
          <w:lang w:val="fr-FR"/>
        </w:rPr>
      </w:pPr>
      <w:r>
        <w:rPr>
          <w:rFonts w:cstheme="minorHAnsi"/>
          <w:i/>
          <w:iCs/>
          <w:highlight w:val="cyan"/>
          <w:lang w:val="fr-FR"/>
        </w:rPr>
        <w:t>Exemple d’objet social pour un associé commandité de société en commandite spécial (SLP/</w:t>
      </w:r>
      <w:proofErr w:type="spellStart"/>
      <w:r>
        <w:rPr>
          <w:rFonts w:cstheme="minorHAnsi"/>
          <w:i/>
          <w:iCs/>
          <w:highlight w:val="cyan"/>
          <w:lang w:val="fr-FR"/>
        </w:rPr>
        <w:t>SCSp</w:t>
      </w:r>
      <w:proofErr w:type="spellEnd"/>
      <w:r>
        <w:rPr>
          <w:rFonts w:cstheme="minorHAnsi"/>
          <w:i/>
          <w:iCs/>
          <w:highlight w:val="cyan"/>
          <w:lang w:val="fr-FR"/>
        </w:rPr>
        <w:t>) non régulée :</w:t>
      </w:r>
    </w:p>
    <w:p w14:paraId="6F769B8F" w14:textId="77777777" w:rsidR="00EC45B1" w:rsidRDefault="00000000">
      <w:pPr>
        <w:pStyle w:val="AoALevel3Article11"/>
        <w:widowControl w:val="0"/>
        <w:numPr>
          <w:ilvl w:val="2"/>
          <w:numId w:val="78"/>
        </w:numPr>
        <w:spacing w:after="0"/>
        <w:ind w:left="450" w:hanging="450"/>
        <w:contextualSpacing/>
        <w:rPr>
          <w:lang w:val="fr-LU"/>
        </w:rPr>
      </w:pPr>
      <w:r>
        <w:rPr>
          <w:lang w:val="fr-LU"/>
        </w:rPr>
        <w:t>La Société a pour objet social la détention de participations, sous quelque forme que ce soit, dans des sociétés luxembourgeoises et étrangères et de toute autre forme de placement, l’acquisition par achat, souscription ou de toute autre manière, de même que le transfert par vente, échange ou toute autre manière de valeurs mobilières de tout type, ainsi que l’administration, la gestion, le contrôle et la mise en valeur de son portefeuille de participations.</w:t>
      </w:r>
    </w:p>
    <w:p w14:paraId="343ABD14" w14:textId="77777777" w:rsidR="00EC45B1" w:rsidRDefault="00000000">
      <w:pPr>
        <w:pStyle w:val="AoALevel3Article11"/>
        <w:widowControl w:val="0"/>
        <w:numPr>
          <w:ilvl w:val="2"/>
          <w:numId w:val="79"/>
        </w:numPr>
        <w:spacing w:after="0"/>
        <w:ind w:left="450" w:hanging="450"/>
        <w:contextualSpacing/>
        <w:rPr>
          <w:lang w:val="fr-LU"/>
        </w:rPr>
      </w:pPr>
      <w:r>
        <w:rPr>
          <w:lang w:val="fr-LU"/>
        </w:rPr>
        <w:t>La Société peut également accorder des prêts, ainsi que des garanties, des sûretés, au profit de tiers afin de garantir l’exécution d’obligations des sociétés dans lesquelles elle détient une participation directe ou indirecte ou un droit de quelque nature que ce soit ou qui font partie du même groupe de sociétés que la Société, ou assister ces sociétés de toute autre manière.</w:t>
      </w:r>
    </w:p>
    <w:p w14:paraId="4C74731E" w14:textId="77777777" w:rsidR="00EC45B1" w:rsidRDefault="00000000">
      <w:pPr>
        <w:pStyle w:val="AoALevel3Article11"/>
        <w:widowControl w:val="0"/>
        <w:numPr>
          <w:ilvl w:val="2"/>
          <w:numId w:val="80"/>
        </w:numPr>
        <w:spacing w:after="0"/>
        <w:ind w:left="450" w:hanging="450"/>
        <w:contextualSpacing/>
        <w:rPr>
          <w:lang w:val="fr-LU"/>
        </w:rPr>
      </w:pPr>
      <w:r>
        <w:rPr>
          <w:lang w:val="fr-LU"/>
        </w:rPr>
        <w:t xml:space="preserve">La Société peut lever des fonds en faisant des emprunts sous toute forme ou en émettant toute sorte </w:t>
      </w:r>
      <w:r>
        <w:rPr>
          <w:lang w:val="fr-LU"/>
        </w:rPr>
        <w:lastRenderedPageBreak/>
        <w:t>d’obligations, de titres ou d’instruments de dettes, d’obligations garanties ou non garanties, et d’une manière générale en émettant des valeurs mobilières de tout type. Cependant, la Société ne pourra pas procéder à une émission publique de parts sociales.</w:t>
      </w:r>
    </w:p>
    <w:p w14:paraId="2A713159" w14:textId="77777777" w:rsidR="00EC45B1" w:rsidRDefault="00000000">
      <w:pPr>
        <w:pStyle w:val="AoALevel3Article11"/>
        <w:widowControl w:val="0"/>
        <w:numPr>
          <w:ilvl w:val="2"/>
          <w:numId w:val="81"/>
        </w:numPr>
        <w:spacing w:after="0"/>
        <w:ind w:left="450" w:hanging="450"/>
        <w:contextualSpacing/>
        <w:rPr>
          <w:lang w:val="fr-LU"/>
        </w:rPr>
      </w:pPr>
      <w:r>
        <w:rPr>
          <w:lang w:val="fr-LU"/>
        </w:rPr>
        <w:t>La Société peut exercer toute activité de nature commerciale, industrielle, financière, immobilière ou de propriété intellectuelle qu’elle estime utile pour l’accomplissement de son objet social.</w:t>
      </w:r>
    </w:p>
    <w:p w14:paraId="537EE8F1" w14:textId="77777777" w:rsidR="00EC45B1" w:rsidRDefault="00000000">
      <w:pPr>
        <w:pStyle w:val="AoALevel3Article11"/>
        <w:widowControl w:val="0"/>
        <w:numPr>
          <w:ilvl w:val="2"/>
          <w:numId w:val="82"/>
        </w:numPr>
        <w:spacing w:after="0"/>
        <w:ind w:left="450" w:hanging="450"/>
        <w:contextualSpacing/>
        <w:rPr>
          <w:lang w:val="fr-LU"/>
        </w:rPr>
      </w:pPr>
      <w:r>
        <w:rPr>
          <w:lang w:val="fr-LU"/>
        </w:rPr>
        <w:t>La Société ne doit pas agir en tant que fonds d’investissement alternatif tel que défini dans la loi luxembourgeoise du 12 juillet 2013 relative aux Gestionnaires de Fonds d’Investissement Alternatifs et ne doit pas exercer toute autre activité qui serait sujette à la surveillance de la Commission de Surveillance du Secteur Financier. En particulier, la Société ne commercialisera pas (directement ou indirectement) activement ses parts sociales ou autres titres auprès d’investisseurs.</w:t>
      </w:r>
    </w:p>
    <w:p w14:paraId="46BB3593" w14:textId="77777777" w:rsidR="00EC45B1" w:rsidRDefault="00000000">
      <w:pPr>
        <w:pStyle w:val="AoALevel3Article11"/>
        <w:widowControl w:val="0"/>
        <w:numPr>
          <w:ilvl w:val="2"/>
          <w:numId w:val="83"/>
        </w:numPr>
        <w:spacing w:after="0"/>
        <w:ind w:left="450" w:hanging="450"/>
        <w:contextualSpacing/>
        <w:rPr>
          <w:lang w:val="fr-LU"/>
        </w:rPr>
      </w:pPr>
      <w:r>
        <w:rPr>
          <w:lang w:val="fr-LU"/>
        </w:rPr>
        <w:t>La Société a également la possibilité d’agir en tant qu’associée ou actionnaire à responsabilité illimitée ou limitée pour les dettes et les obligations de toute entité luxembourgeoise ou étrangère.</w:t>
      </w:r>
    </w:p>
    <w:p w14:paraId="170321F2" w14:textId="77777777" w:rsidR="00EC45B1" w:rsidRDefault="00EC45B1">
      <w:pPr>
        <w:pStyle w:val="AoALevel3Article11"/>
        <w:widowControl w:val="0"/>
        <w:numPr>
          <w:ilvl w:val="0"/>
          <w:numId w:val="0"/>
        </w:numPr>
        <w:spacing w:after="0"/>
        <w:contextualSpacing/>
        <w:rPr>
          <w:lang w:val="fr-BE"/>
        </w:rPr>
      </w:pPr>
    </w:p>
    <w:p w14:paraId="6E39F6B6" w14:textId="77777777" w:rsidR="00EC45B1" w:rsidRDefault="00000000">
      <w:pPr>
        <w:widowControl w:val="0"/>
        <w:tabs>
          <w:tab w:val="left" w:pos="1134"/>
        </w:tabs>
        <w:contextualSpacing/>
        <w:jc w:val="both"/>
        <w:rPr>
          <w:rFonts w:cstheme="minorHAnsi"/>
          <w:i/>
          <w:iCs/>
          <w:highlight w:val="cyan"/>
          <w:lang w:val="fr-FR"/>
        </w:rPr>
      </w:pPr>
      <w:r>
        <w:rPr>
          <w:rFonts w:cstheme="minorHAnsi"/>
          <w:i/>
          <w:iCs/>
          <w:highlight w:val="cyan"/>
          <w:lang w:val="fr-FR"/>
        </w:rPr>
        <w:t>Exemple d’objet social pour un associé commandité d’un fonds de type SCA SICAR :</w:t>
      </w:r>
    </w:p>
    <w:p w14:paraId="40BA8DFE" w14:textId="77777777" w:rsidR="00EC45B1" w:rsidRDefault="00000000">
      <w:pPr>
        <w:pStyle w:val="AoALevel3Article11"/>
        <w:widowControl w:val="0"/>
        <w:numPr>
          <w:ilvl w:val="2"/>
          <w:numId w:val="84"/>
        </w:numPr>
        <w:spacing w:after="0"/>
        <w:ind w:left="450" w:hanging="450"/>
        <w:contextualSpacing/>
        <w:rPr>
          <w:lang w:val="fr-LU"/>
        </w:rPr>
      </w:pPr>
      <w:r>
        <w:rPr>
          <w:lang w:val="fr-LU"/>
        </w:rPr>
        <w:t>L'objet de la Société est d'agir en qualité d'associé commandité de la société [</w:t>
      </w:r>
      <w:r>
        <w:rPr>
          <w:highlight w:val="yellow"/>
          <w:lang w:val="fr-LU"/>
        </w:rPr>
        <w:t>nom du fonds</w:t>
      </w:r>
      <w:r>
        <w:rPr>
          <w:lang w:val="fr-LU"/>
        </w:rPr>
        <w:t>] S.C.A., SICAR, une société en commandite par actions régie par les lois du Grand-duché de Luxembourg (la SICAR), et notamment la loi du 15 juin 2004 sur les Sociétés d'Investissement à Capital Risque (la Loi sur les SICAR).</w:t>
      </w:r>
    </w:p>
    <w:p w14:paraId="4FE61613" w14:textId="77777777" w:rsidR="00EC45B1" w:rsidRDefault="00000000">
      <w:pPr>
        <w:pStyle w:val="AoALevel3Article11"/>
        <w:widowControl w:val="0"/>
        <w:numPr>
          <w:ilvl w:val="2"/>
          <w:numId w:val="85"/>
        </w:numPr>
        <w:spacing w:after="0"/>
        <w:ind w:left="450" w:hanging="450"/>
        <w:contextualSpacing/>
        <w:rPr>
          <w:lang w:val="fr-LU"/>
        </w:rPr>
      </w:pPr>
      <w:r>
        <w:rPr>
          <w:lang w:val="fr-LU"/>
        </w:rPr>
        <w:t>La Société peut aussi réaliser toutes opérations se rapportant directement ou indirectement à la prise de participations sous quelque forme que ce soit, dans toute entreprise, ainsi que l’administration, la gestion, le contrôle et le développement de ces participations.</w:t>
      </w:r>
    </w:p>
    <w:p w14:paraId="48E9B7B6" w14:textId="77777777" w:rsidR="00EC45B1" w:rsidRDefault="00000000">
      <w:pPr>
        <w:pStyle w:val="AoALevel3Article11"/>
        <w:widowControl w:val="0"/>
        <w:numPr>
          <w:ilvl w:val="2"/>
          <w:numId w:val="86"/>
        </w:numPr>
        <w:spacing w:after="0"/>
        <w:ind w:left="450" w:hanging="450"/>
        <w:contextualSpacing/>
        <w:rPr>
          <w:lang w:val="fr-LU"/>
        </w:rPr>
      </w:pPr>
      <w:r>
        <w:rPr>
          <w:lang w:val="fr-LU"/>
        </w:rPr>
        <w:t>La Société peut notamment employer ses fonds à la création, à la gestion, à la mise en valeur et à la liquidation d'un portefeuille se composant de tous titres et brevets de toute origine, participer à la création, au développement et au contrôle de toute entreprise, acquérir par voie d'apport, de souscription, de prise ferme ou d'option d'achat et de toute autre manière, tous titres et brevets, les réaliser par voie de vente, de cession, d'échange ou autrement, faire mettre en valeur ces titres et brevets.</w:t>
      </w:r>
    </w:p>
    <w:p w14:paraId="49398EAB" w14:textId="77777777" w:rsidR="00EC45B1" w:rsidRDefault="00000000">
      <w:pPr>
        <w:pStyle w:val="AoALevel3Article11"/>
        <w:widowControl w:val="0"/>
        <w:numPr>
          <w:ilvl w:val="2"/>
          <w:numId w:val="87"/>
        </w:numPr>
        <w:spacing w:after="0"/>
        <w:ind w:left="450" w:hanging="450"/>
        <w:contextualSpacing/>
        <w:rPr>
          <w:lang w:val="fr-LU"/>
        </w:rPr>
      </w:pPr>
      <w:r>
        <w:rPr>
          <w:lang w:val="fr-LU"/>
        </w:rPr>
        <w:t>En général, la Société peut également réaliser toute opération financière, commerciale, industrielle, mobilière ou immobilière, prendre toutes mesures pour sauvegarder ses droits et réaliser toutes opérations, qui se rattachent directement ou indirectement à son objet ou qui favorisent son développement.</w:t>
      </w:r>
    </w:p>
    <w:p w14:paraId="40230FE3" w14:textId="77777777" w:rsidR="00EC45B1" w:rsidRDefault="00000000">
      <w:pPr>
        <w:pStyle w:val="AoALevel3Article11"/>
        <w:widowControl w:val="0"/>
        <w:numPr>
          <w:ilvl w:val="2"/>
          <w:numId w:val="88"/>
        </w:numPr>
        <w:spacing w:after="0"/>
        <w:ind w:left="450" w:hanging="450"/>
        <w:contextualSpacing/>
        <w:rPr>
          <w:lang w:val="fr-LU"/>
        </w:rPr>
      </w:pPr>
      <w:r>
        <w:rPr>
          <w:lang w:val="fr-LU"/>
        </w:rPr>
        <w:t>La Société peut emprunter sous quelque forme que ce soit sauf par voie d’offre publique. Elle peut procéder, uniquement par voie de placement privé, à l’émission d’actions et obligations et d’autres titres représentatifs d’emprunts, convertibles ou non, et/ou de créances. Elle peut également consentir des garanties ou des sûretés au profit de tierces personnes afin de garantir ses obligations ou les obligations de ses filiales, sociétés affiliées ou de toute autre société. La Société peut en outre nantir, céder, grever de charges ou créer, de toute autre manière, des sûretés portant sur tout ou partie de ses avoirs</w:t>
      </w:r>
    </w:p>
    <w:p w14:paraId="1C25422C" w14:textId="77777777" w:rsidR="00EC45B1" w:rsidRDefault="00EC45B1">
      <w:pPr>
        <w:pStyle w:val="AoALevel3Article11"/>
        <w:widowControl w:val="0"/>
        <w:numPr>
          <w:ilvl w:val="0"/>
          <w:numId w:val="0"/>
        </w:numPr>
        <w:spacing w:after="0"/>
        <w:contextualSpacing/>
        <w:rPr>
          <w:lang w:val="fr-FR"/>
        </w:rPr>
      </w:pPr>
    </w:p>
    <w:p w14:paraId="5C684921" w14:textId="77777777" w:rsidR="00EC45B1" w:rsidRDefault="00EC45B1">
      <w:pPr>
        <w:pStyle w:val="AoALevel3Article11"/>
        <w:widowControl w:val="0"/>
        <w:numPr>
          <w:ilvl w:val="0"/>
          <w:numId w:val="0"/>
        </w:numPr>
        <w:spacing w:after="0"/>
        <w:contextualSpacing/>
        <w:rPr>
          <w:lang w:val="fr-FR"/>
        </w:rPr>
      </w:pPr>
    </w:p>
    <w:p w14:paraId="27CA6B34" w14:textId="77777777" w:rsidR="00EC45B1" w:rsidRDefault="00000000">
      <w:pPr>
        <w:widowControl w:val="0"/>
        <w:tabs>
          <w:tab w:val="left" w:pos="1134"/>
        </w:tabs>
        <w:contextualSpacing/>
        <w:jc w:val="both"/>
        <w:rPr>
          <w:rFonts w:cstheme="minorHAnsi"/>
          <w:i/>
          <w:iCs/>
          <w:highlight w:val="cyan"/>
          <w:lang w:val="fr-FR"/>
        </w:rPr>
      </w:pPr>
      <w:r>
        <w:rPr>
          <w:rFonts w:cstheme="minorHAnsi"/>
          <w:i/>
          <w:iCs/>
          <w:highlight w:val="cyan"/>
          <w:lang w:val="fr-FR"/>
        </w:rPr>
        <w:t>Exemple d’objet social pour un associé commandité d’un fonds d’investissement spécialisé (FIS) :</w:t>
      </w:r>
    </w:p>
    <w:p w14:paraId="1B7F792B" w14:textId="77777777" w:rsidR="00EC45B1" w:rsidRDefault="00000000">
      <w:pPr>
        <w:pStyle w:val="AoALevel3Article11"/>
        <w:widowControl w:val="0"/>
        <w:numPr>
          <w:ilvl w:val="2"/>
          <w:numId w:val="89"/>
        </w:numPr>
        <w:spacing w:after="0"/>
        <w:ind w:left="450" w:hanging="450"/>
        <w:contextualSpacing/>
        <w:rPr>
          <w:lang w:val="fr-LU"/>
        </w:rPr>
      </w:pPr>
      <w:r>
        <w:rPr>
          <w:lang w:val="fr-LU"/>
        </w:rPr>
        <w:t>La Société agira comme associé commandité et souscrira à des parts sociales d'associé commandité de [</w:t>
      </w:r>
      <w:r>
        <w:rPr>
          <w:highlight w:val="yellow"/>
          <w:lang w:val="fr-LU"/>
        </w:rPr>
        <w:t>nom du fonds</w:t>
      </w:r>
      <w:r>
        <w:rPr>
          <w:lang w:val="fr-LU"/>
        </w:rPr>
        <w:t>], une société d'investissement à capital variable – fonds d'investissement spécialisé de droit luxembourgeois organisée sous la forme d'une société en commandite par actions et soumise à la loi de 13 février 2007 sur les fonds d'investissement spécialisés, telle que modifiée.</w:t>
      </w:r>
    </w:p>
    <w:p w14:paraId="045820D8" w14:textId="77777777" w:rsidR="00EC45B1" w:rsidRDefault="00000000">
      <w:pPr>
        <w:pStyle w:val="AoALevel3Article11"/>
        <w:widowControl w:val="0"/>
        <w:numPr>
          <w:ilvl w:val="2"/>
          <w:numId w:val="90"/>
        </w:numPr>
        <w:spacing w:after="0"/>
        <w:ind w:left="450" w:hanging="450"/>
        <w:contextualSpacing/>
        <w:rPr>
          <w:lang w:val="fr-LU"/>
        </w:rPr>
      </w:pPr>
      <w:r>
        <w:rPr>
          <w:lang w:val="fr-LU"/>
        </w:rPr>
        <w:t>La Société peut mener toute activité commerciale, industrielle ou financière qu'elle considère utile pour l'accomplissement et développement de son objet social.</w:t>
      </w:r>
    </w:p>
    <w:p w14:paraId="43F0B71D" w14:textId="77777777" w:rsidR="00EC45B1" w:rsidRDefault="00EC45B1">
      <w:pPr>
        <w:pStyle w:val="AoALevel3Article11"/>
        <w:widowControl w:val="0"/>
        <w:numPr>
          <w:ilvl w:val="0"/>
          <w:numId w:val="0"/>
        </w:numPr>
        <w:spacing w:after="0"/>
        <w:contextualSpacing/>
        <w:rPr>
          <w:lang w:val="fr-FR"/>
        </w:rPr>
      </w:pPr>
    </w:p>
    <w:p w14:paraId="04ADB9AB" w14:textId="77777777" w:rsidR="00EC45B1" w:rsidRDefault="00000000">
      <w:pPr>
        <w:pStyle w:val="AoALevel2Article1"/>
        <w:keepNext w:val="0"/>
        <w:widowControl w:val="0"/>
        <w:numPr>
          <w:ilvl w:val="1"/>
          <w:numId w:val="91"/>
        </w:numPr>
        <w:spacing w:before="120" w:after="0"/>
        <w:ind w:left="851" w:hanging="851"/>
        <w:contextualSpacing/>
        <w:rPr>
          <w:lang w:val="fr-LU"/>
        </w:rPr>
      </w:pPr>
      <w:r>
        <w:rPr>
          <w:lang w:val="fr-FR"/>
        </w:rPr>
        <w:t xml:space="preserve">             </w:t>
      </w:r>
      <w:r>
        <w:rPr>
          <w:lang w:val="fr-LU"/>
        </w:rPr>
        <w:t>Durée</w:t>
      </w:r>
    </w:p>
    <w:p w14:paraId="17B87857" w14:textId="77777777" w:rsidR="00EC45B1" w:rsidRDefault="00000000">
      <w:pPr>
        <w:pStyle w:val="AoALevel3Article11"/>
        <w:widowControl w:val="0"/>
        <w:numPr>
          <w:ilvl w:val="2"/>
          <w:numId w:val="92"/>
        </w:numPr>
        <w:spacing w:after="0"/>
        <w:ind w:left="426" w:hanging="426"/>
        <w:contextualSpacing/>
        <w:rPr>
          <w:lang w:val="fr-LU"/>
        </w:rPr>
      </w:pPr>
      <w:r>
        <w:rPr>
          <w:lang w:val="fr-LU"/>
        </w:rPr>
        <w:t>La Société est constituée pour une durée illimitée.</w:t>
      </w:r>
    </w:p>
    <w:p w14:paraId="1AED6352" w14:textId="77777777" w:rsidR="00EC45B1" w:rsidRDefault="00000000">
      <w:pPr>
        <w:pStyle w:val="AoALevel3Article11"/>
        <w:widowControl w:val="0"/>
        <w:numPr>
          <w:ilvl w:val="2"/>
          <w:numId w:val="93"/>
        </w:numPr>
        <w:spacing w:after="0"/>
        <w:ind w:left="426" w:hanging="426"/>
        <w:contextualSpacing/>
        <w:rPr>
          <w:lang w:val="fr-LU"/>
        </w:rPr>
      </w:pPr>
      <w:r>
        <w:rPr>
          <w:lang w:val="fr-LU"/>
        </w:rPr>
        <w:t>Elle peut être dissoute à tout moment, avec ou sans cause, par une décision de l’assemblée générale des associés adoptée avec la majorité requise pour la modification des présents statuts.</w:t>
      </w:r>
    </w:p>
    <w:p w14:paraId="2007FFBB" w14:textId="77777777" w:rsidR="00EC45B1" w:rsidRDefault="00000000">
      <w:pPr>
        <w:pStyle w:val="AoALevel2Article1"/>
        <w:keepNext w:val="0"/>
        <w:widowControl w:val="0"/>
        <w:numPr>
          <w:ilvl w:val="1"/>
          <w:numId w:val="94"/>
        </w:numPr>
        <w:tabs>
          <w:tab w:val="clear" w:pos="1418"/>
          <w:tab w:val="left" w:pos="851"/>
        </w:tabs>
        <w:spacing w:before="120" w:after="0"/>
        <w:ind w:hanging="1986"/>
        <w:contextualSpacing/>
        <w:rPr>
          <w:lang w:val="fr-LU"/>
        </w:rPr>
      </w:pPr>
      <w:r>
        <w:rPr>
          <w:lang w:val="fr-LU"/>
        </w:rPr>
        <w:t xml:space="preserve">            Siège social</w:t>
      </w:r>
    </w:p>
    <w:p w14:paraId="6DEA7296" w14:textId="77777777" w:rsidR="00EC45B1" w:rsidRDefault="00000000">
      <w:pPr>
        <w:pStyle w:val="AoALevel3Article11"/>
        <w:widowControl w:val="0"/>
        <w:numPr>
          <w:ilvl w:val="2"/>
          <w:numId w:val="95"/>
        </w:numPr>
        <w:spacing w:after="0"/>
        <w:ind w:left="426" w:hanging="426"/>
        <w:contextualSpacing/>
        <w:rPr>
          <w:lang w:val="fr-LU"/>
        </w:rPr>
      </w:pPr>
      <w:r>
        <w:rPr>
          <w:lang w:val="fr-LU"/>
        </w:rPr>
        <w:t xml:space="preserve">Le siège social de la Société est établi dans la Ville de </w:t>
      </w:r>
      <w:r>
        <w:rPr>
          <w:highlight w:val="yellow"/>
          <w:lang w:val="fr-LU"/>
        </w:rPr>
        <w:t>XXX</w:t>
      </w:r>
      <w:r>
        <w:rPr>
          <w:lang w:val="fr-LU"/>
        </w:rPr>
        <w:t>, Grand-Duché de Luxembourg.</w:t>
      </w:r>
    </w:p>
    <w:p w14:paraId="563AD389" w14:textId="77777777" w:rsidR="00EC45B1" w:rsidRDefault="00000000">
      <w:pPr>
        <w:pStyle w:val="AoALevel3Article11"/>
        <w:widowControl w:val="0"/>
        <w:numPr>
          <w:ilvl w:val="1"/>
          <w:numId w:val="2"/>
        </w:numPr>
        <w:spacing w:after="0"/>
        <w:ind w:left="426" w:hanging="426"/>
        <w:contextualSpacing/>
        <w:rPr>
          <w:lang w:val="fr-LU"/>
        </w:rPr>
      </w:pPr>
      <w:r>
        <w:rPr>
          <w:lang w:val="fr-LU"/>
        </w:rPr>
        <w:lastRenderedPageBreak/>
        <w:t>Le conseil de gérance peut transférer le siège social de la Société au sein de la même commune ou dans toute autre commune du Grand-Duché de Luxembourg et modifier ces statuts en conséquence.</w:t>
      </w:r>
    </w:p>
    <w:p w14:paraId="29D2101A" w14:textId="77777777" w:rsidR="00EC45B1" w:rsidRDefault="00000000">
      <w:pPr>
        <w:pStyle w:val="AoALevel3Article11"/>
        <w:widowControl w:val="0"/>
        <w:numPr>
          <w:ilvl w:val="2"/>
          <w:numId w:val="96"/>
        </w:numPr>
        <w:spacing w:after="0"/>
        <w:ind w:left="426" w:hanging="426"/>
        <w:contextualSpacing/>
        <w:rPr>
          <w:lang w:val="fr-LU"/>
        </w:rPr>
      </w:pPr>
      <w:r>
        <w:rPr>
          <w:lang w:val="fr-LU"/>
        </w:rPr>
        <w:t>Des succursales ou bureaux peuvent être créés, tant au Grand-Duché de Luxembourg qu'à l'étranger, par décision du conseil de gérance.</w:t>
      </w:r>
    </w:p>
    <w:p w14:paraId="7AC08D68" w14:textId="77777777" w:rsidR="00EC45B1" w:rsidRDefault="00000000">
      <w:pPr>
        <w:pStyle w:val="AoALevel3Article11"/>
        <w:widowControl w:val="0"/>
        <w:numPr>
          <w:ilvl w:val="2"/>
          <w:numId w:val="97"/>
        </w:numPr>
        <w:spacing w:after="0"/>
        <w:ind w:left="426" w:hanging="426"/>
        <w:contextualSpacing/>
        <w:rPr>
          <w:lang w:val="fr-LU"/>
        </w:rPr>
      </w:pPr>
      <w:r>
        <w:rPr>
          <w:lang w:val="fr-LU"/>
        </w:rPr>
        <w:t>Dans l’hypothèse où le conseil de gérance estimerait que des événements exceptionnels d'ordre politique, économique ou social ou des catastrophes naturelles se sont produits ou seraient imminents, de nature à interférer avec l'activité normale de la Société à son siège social, il pourra transférer provisoirement le siège social à l'étranger jusqu'à la cessation complète de ces circonstances exceptionnelles ; ces mesures provisoires n'auront toutefois aucun effet sur la nationalité de la Société, laquelle, nonobstant ce transfert provisoire, restera une société luxembourgeoise.</w:t>
      </w:r>
    </w:p>
    <w:p w14:paraId="47FDD86D" w14:textId="77777777" w:rsidR="00EC45B1" w:rsidRDefault="00000000">
      <w:pPr>
        <w:pStyle w:val="StyleAoALevel1ABCNotBoldNotAllcaps"/>
        <w:keepNext w:val="0"/>
        <w:widowControl w:val="0"/>
        <w:numPr>
          <w:ilvl w:val="0"/>
          <w:numId w:val="98"/>
        </w:numPr>
        <w:pBdr>
          <w:bottom w:val="single" w:sz="6" w:space="4" w:color="1F4E5F"/>
        </w:pBdr>
        <w:tabs>
          <w:tab w:val="clear" w:pos="680"/>
          <w:tab w:val="left" w:pos="426"/>
          <w:tab w:val="left" w:pos="1701"/>
        </w:tabs>
        <w:spacing w:before="360" w:after="240"/>
        <w:ind w:left="677" w:hanging="677"/>
        <w:contextualSpacing/>
        <w:rPr>
          <w:lang w:val="fr-LU"/>
        </w:rPr>
      </w:pPr>
      <w:r>
        <w:rPr>
          <w:lang w:val="fr-LU"/>
        </w:rPr>
        <w:t>CAPITAL SOCIAL – PARTS SOCIALES</w:t>
      </w:r>
    </w:p>
    <w:p w14:paraId="70649AFF" w14:textId="77777777" w:rsidR="00EC45B1" w:rsidRDefault="00000000">
      <w:pPr>
        <w:pStyle w:val="AoALevel2Article1"/>
        <w:keepNext w:val="0"/>
        <w:widowControl w:val="0"/>
        <w:numPr>
          <w:ilvl w:val="0"/>
          <w:numId w:val="0"/>
        </w:numPr>
        <w:tabs>
          <w:tab w:val="clear" w:pos="1418"/>
          <w:tab w:val="left" w:pos="851"/>
        </w:tabs>
        <w:spacing w:before="120" w:after="0"/>
        <w:contextualSpacing/>
        <w:rPr>
          <w:lang w:val="fr-LU"/>
        </w:rPr>
      </w:pPr>
      <w:r>
        <w:rPr>
          <w:lang w:val="fr-LU"/>
        </w:rPr>
        <w:t>Article 5</w:t>
      </w:r>
      <w:r>
        <w:rPr>
          <w:lang w:val="fr-LU"/>
        </w:rPr>
        <w:tab/>
      </w:r>
      <w:r>
        <w:rPr>
          <w:lang w:val="fr-LU"/>
        </w:rPr>
        <w:tab/>
        <w:t>Capital social</w:t>
      </w:r>
    </w:p>
    <w:p w14:paraId="5E9B1AD3" w14:textId="77777777" w:rsidR="00EC45B1" w:rsidRDefault="00000000">
      <w:pPr>
        <w:widowControl w:val="0"/>
        <w:tabs>
          <w:tab w:val="left" w:pos="1134"/>
        </w:tabs>
        <w:contextualSpacing/>
        <w:jc w:val="both"/>
        <w:rPr>
          <w:rFonts w:cstheme="minorHAnsi"/>
          <w:i/>
          <w:iCs/>
          <w:highlight w:val="cyan"/>
          <w:lang w:val="fr-FR"/>
        </w:rPr>
      </w:pPr>
      <w:r>
        <w:rPr>
          <w:rFonts w:cstheme="minorHAnsi"/>
          <w:b/>
          <w:bCs/>
          <w:i/>
          <w:iCs/>
          <w:highlight w:val="cyan"/>
          <w:lang w:val="fr-FR"/>
        </w:rPr>
        <w:t xml:space="preserve">Exemples de capital </w:t>
      </w:r>
      <w:proofErr w:type="gramStart"/>
      <w:r>
        <w:rPr>
          <w:rFonts w:cstheme="minorHAnsi"/>
          <w:b/>
          <w:bCs/>
          <w:i/>
          <w:iCs/>
          <w:highlight w:val="cyan"/>
          <w:lang w:val="fr-FR"/>
        </w:rPr>
        <w:t>social:</w:t>
      </w:r>
      <w:proofErr w:type="gramEnd"/>
    </w:p>
    <w:p w14:paraId="7F6109F5" w14:textId="77777777" w:rsidR="00EC45B1" w:rsidRDefault="00EC45B1">
      <w:pPr>
        <w:rPr>
          <w:lang w:val="fr-FR"/>
        </w:rPr>
      </w:pPr>
    </w:p>
    <w:p w14:paraId="48C7FF21" w14:textId="77777777" w:rsidR="00EC45B1" w:rsidRDefault="00000000">
      <w:pPr>
        <w:widowControl w:val="0"/>
        <w:tabs>
          <w:tab w:val="left" w:pos="1134"/>
        </w:tabs>
        <w:contextualSpacing/>
        <w:jc w:val="both"/>
        <w:rPr>
          <w:rFonts w:cstheme="minorHAnsi"/>
          <w:i/>
          <w:iCs/>
          <w:highlight w:val="cyan"/>
          <w:lang w:val="fr-FR"/>
        </w:rPr>
      </w:pPr>
      <w:r>
        <w:rPr>
          <w:rFonts w:cstheme="minorHAnsi"/>
          <w:i/>
          <w:iCs/>
          <w:highlight w:val="cyan"/>
          <w:lang w:val="fr-FR"/>
        </w:rPr>
        <w:t>Clauses standards – capital minimum – parts sociales ordinaires :</w:t>
      </w:r>
    </w:p>
    <w:p w14:paraId="3B936A08"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5.1</w:t>
      </w:r>
      <w:r>
        <w:rPr>
          <w:lang w:val="fr-BE"/>
        </w:rPr>
        <w:tab/>
        <w:t>Le capital social de la Société est fixé à douze Euros (EUR 12.000), représenté par [</w:t>
      </w:r>
      <w:r>
        <w:rPr>
          <w:highlight w:val="yellow"/>
          <w:lang w:val="fr-BE"/>
        </w:rPr>
        <w:t>quantité en lettres</w:t>
      </w:r>
      <w:r>
        <w:rPr>
          <w:lang w:val="fr-BE"/>
        </w:rPr>
        <w:t>] ([</w:t>
      </w:r>
      <w:r>
        <w:rPr>
          <w:highlight w:val="yellow"/>
          <w:lang w:val="fr-BE"/>
        </w:rPr>
        <w:t>quantité en chiffres</w:t>
      </w:r>
      <w:r>
        <w:rPr>
          <w:lang w:val="fr-BE"/>
        </w:rPr>
        <w:t>]) parts sociales ayant une valeur nominale de [</w:t>
      </w:r>
      <w:r>
        <w:rPr>
          <w:highlight w:val="yellow"/>
          <w:lang w:val="fr-BE"/>
        </w:rPr>
        <w:t>valeur en lettres</w:t>
      </w:r>
      <w:r>
        <w:rPr>
          <w:lang w:val="fr-BE"/>
        </w:rPr>
        <w:t>] Euro (EUR [</w:t>
      </w:r>
      <w:r>
        <w:rPr>
          <w:highlight w:val="yellow"/>
          <w:lang w:val="fr-BE"/>
        </w:rPr>
        <w:t>valeur en chiffres</w:t>
      </w:r>
      <w:r>
        <w:rPr>
          <w:lang w:val="fr-BE"/>
        </w:rPr>
        <w:t>]) chacune.</w:t>
      </w:r>
    </w:p>
    <w:p w14:paraId="215794F7"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5.2</w:t>
      </w:r>
      <w:r>
        <w:rPr>
          <w:lang w:val="fr-BE"/>
        </w:rPr>
        <w:tab/>
        <w:t>Le capital social de la Société peut être augmenté ou réduit par une décision de l’assemblée générale des associés</w:t>
      </w:r>
      <w:r>
        <w:rPr>
          <w:lang w:val="fr-LU"/>
        </w:rPr>
        <w:t>, adoptée selon les conditions requises pour la modification des présents statuts</w:t>
      </w:r>
      <w:r>
        <w:rPr>
          <w:lang w:val="fr-BE"/>
        </w:rPr>
        <w:t>.</w:t>
      </w:r>
    </w:p>
    <w:p w14:paraId="37FA9C53"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5.3</w:t>
      </w:r>
      <w:r>
        <w:rPr>
          <w:lang w:val="fr-BE"/>
        </w:rPr>
        <w:tab/>
        <w:t xml:space="preserve">La Société peut racheter ses propres parts sociales aux conditions prévues par la Loi. </w:t>
      </w:r>
    </w:p>
    <w:p w14:paraId="244BF8C4"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5.4</w:t>
      </w:r>
      <w:r>
        <w:rPr>
          <w:lang w:val="fr-BE"/>
        </w:rPr>
        <w:tab/>
        <w:t>Le conseil de gérance est autorisé à annuler des parts sociales rachetées par la Société et à procéder à la réduction de capital social afférente.</w:t>
      </w:r>
    </w:p>
    <w:p w14:paraId="11933E2A"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5.5</w:t>
      </w:r>
      <w:r>
        <w:rPr>
          <w:lang w:val="fr-BE"/>
        </w:rPr>
        <w:tab/>
      </w:r>
      <w:bookmarkStart w:id="11" w:name="tw-target-text"/>
      <w:bookmarkEnd w:id="11"/>
      <w:r>
        <w:rPr>
          <w:rStyle w:val="FootnoteReference"/>
          <w:lang w:val="fr-BE"/>
        </w:rPr>
        <w:footnoteReference w:id="13"/>
      </w:r>
      <w:r>
        <w:rPr>
          <w:lang w:val="fr-BE"/>
        </w:rPr>
        <w:t xml:space="preserve">L'apport en numéraire correspondant au capital social minimum de EUR </w:t>
      </w:r>
      <w:proofErr w:type="gramStart"/>
      <w:r>
        <w:rPr>
          <w:lang w:val="fr-BE"/>
        </w:rPr>
        <w:t>12.000  peut</w:t>
      </w:r>
      <w:proofErr w:type="gramEnd"/>
      <w:r>
        <w:rPr>
          <w:lang w:val="fr-BE"/>
        </w:rPr>
        <w:t xml:space="preserve"> être libéré intégralement lors de la constitution ou, en tout ou partie, de manière différée dans un délai de douze (12) mois suivant la constitution, conformément au calendrier ci-après : [</w:t>
      </w:r>
      <w:r>
        <w:rPr>
          <w:color w:val="000000"/>
          <w:shd w:val="clear" w:color="auto" w:fill="FFFF00"/>
          <w:lang w:val="fr-BE"/>
        </w:rPr>
        <w:t>calendrier</w:t>
      </w:r>
      <w:r>
        <w:rPr>
          <w:lang w:val="fr-BE"/>
        </w:rPr>
        <w:t xml:space="preserve">]. Tout montant excédant EUR 12.000, toute prime d'émission, tout apport en nature et tout capital émis lors d'une augmentation ultérieure doivent être libérés intégralement et immédiatement. L'appel de fonds relatif à tout montant </w:t>
      </w:r>
      <w:proofErr w:type="gramStart"/>
      <w:r>
        <w:rPr>
          <w:lang w:val="fr-BE"/>
        </w:rPr>
        <w:t>différé</w:t>
      </w:r>
      <w:proofErr w:type="gramEnd"/>
      <w:r>
        <w:rPr>
          <w:lang w:val="fr-BE"/>
        </w:rPr>
        <w:t xml:space="preserve"> relève de la compétence de l'associé-gérant unique ou, le cas échéant, du conseil de gérance, qui notifie à chaque associé concerné le montant appelé ainsi que la date d'exigibilité au moins [</w:t>
      </w:r>
      <w:r>
        <w:rPr>
          <w:color w:val="000000"/>
          <w:shd w:val="clear" w:color="auto" w:fill="FFFF00"/>
          <w:lang w:val="fr-BE"/>
        </w:rPr>
        <w:t>nombre</w:t>
      </w:r>
      <w:r>
        <w:rPr>
          <w:lang w:val="fr-BE"/>
        </w:rPr>
        <w:t>] jours à l'avance ; tout associé ne s'acquittant pas d'un montant valablement appelé à l'échéance voit ses droits de vote attachés aux actions non libérées suspendus jusqu'au paiement intégral. Tant que le capital n'est pas intégralement libéré, les associés concernés et les montants restant dus sont divulgués conformément à la loi, y compris en annexe au bilan des comptes annuels.</w:t>
      </w:r>
    </w:p>
    <w:p w14:paraId="58C48542" w14:textId="77777777" w:rsidR="00EC45B1" w:rsidRDefault="00EC45B1">
      <w:pPr>
        <w:pStyle w:val="AoALevel3Article11"/>
        <w:widowControl w:val="0"/>
        <w:numPr>
          <w:ilvl w:val="0"/>
          <w:numId w:val="0"/>
        </w:numPr>
        <w:spacing w:after="0"/>
        <w:contextualSpacing/>
        <w:rPr>
          <w:lang w:val="fr-BE"/>
        </w:rPr>
      </w:pPr>
    </w:p>
    <w:p w14:paraId="06391111" w14:textId="77777777" w:rsidR="00EC45B1" w:rsidRDefault="00000000">
      <w:pPr>
        <w:widowControl w:val="0"/>
        <w:tabs>
          <w:tab w:val="left" w:pos="1134"/>
        </w:tabs>
        <w:contextualSpacing/>
        <w:jc w:val="both"/>
        <w:rPr>
          <w:rFonts w:cstheme="minorHAnsi"/>
          <w:i/>
          <w:iCs/>
          <w:highlight w:val="cyan"/>
          <w:lang w:val="fr-FR"/>
        </w:rPr>
      </w:pPr>
      <w:r>
        <w:rPr>
          <w:rFonts w:cstheme="minorHAnsi"/>
          <w:i/>
          <w:iCs/>
          <w:highlight w:val="cyan"/>
          <w:lang w:val="fr-FR"/>
        </w:rPr>
        <w:t>Exemple pour un capital social avec classes de parts, surplus de capital et capital autorisé (ce dernier étant optionnel)</w:t>
      </w:r>
      <w:r>
        <w:rPr>
          <w:rStyle w:val="FootnoteReference"/>
          <w:rFonts w:cstheme="minorHAnsi"/>
          <w:i/>
          <w:iCs/>
          <w:highlight w:val="cyan"/>
          <w:lang w:val="fr-FR"/>
        </w:rPr>
        <w:footnoteReference w:id="14"/>
      </w:r>
      <w:r>
        <w:rPr>
          <w:rFonts w:cstheme="minorHAnsi"/>
          <w:i/>
          <w:iCs/>
          <w:highlight w:val="cyan"/>
          <w:lang w:val="fr-FR"/>
        </w:rPr>
        <w:t xml:space="preserve"> :</w:t>
      </w:r>
    </w:p>
    <w:p w14:paraId="565075B8"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5.1</w:t>
      </w:r>
      <w:r>
        <w:rPr>
          <w:lang w:val="fr-BE"/>
        </w:rPr>
        <w:tab/>
      </w:r>
      <w:r>
        <w:rPr>
          <w:highlight w:val="cyan"/>
          <w:lang w:val="fr-BE"/>
        </w:rPr>
        <w:t>[</w:t>
      </w:r>
      <w:r>
        <w:rPr>
          <w:lang w:val="fr-BE"/>
        </w:rPr>
        <w:t xml:space="preserve">Le capital social de la Société est fixé à douze mille neuf cents euros (EUR </w:t>
      </w:r>
      <w:proofErr w:type="gramStart"/>
      <w:r>
        <w:rPr>
          <w:lang w:val="fr-BE"/>
        </w:rPr>
        <w:t>12.900,-</w:t>
      </w:r>
      <w:proofErr w:type="gramEnd"/>
      <w:r>
        <w:rPr>
          <w:lang w:val="fr-BE"/>
        </w:rPr>
        <w:t>) divisé en un million deux cent quatre-vingt-dix mille (1.290.000) de parts sociales ayant une valeur nominale d’un centime d’euro (EUR 0,01) chacune, et divisées en :</w:t>
      </w:r>
    </w:p>
    <w:p w14:paraId="67C0E4B0" w14:textId="77777777" w:rsidR="00EC45B1" w:rsidRDefault="00000000">
      <w:pPr>
        <w:widowControl w:val="0"/>
        <w:numPr>
          <w:ilvl w:val="0"/>
          <w:numId w:val="11"/>
        </w:numPr>
        <w:ind w:left="1425" w:hanging="806"/>
        <w:jc w:val="both"/>
        <w:rPr>
          <w:rFonts w:cstheme="minorHAnsi"/>
          <w:lang w:val="fr-FR"/>
        </w:rPr>
      </w:pPr>
      <w:proofErr w:type="gramStart"/>
      <w:r>
        <w:rPr>
          <w:rFonts w:cstheme="minorHAnsi"/>
          <w:lang w:val="fr-FR"/>
        </w:rPr>
        <w:t>un</w:t>
      </w:r>
      <w:proofErr w:type="gramEnd"/>
      <w:r>
        <w:rPr>
          <w:rFonts w:cstheme="minorHAnsi"/>
          <w:lang w:val="fr-FR"/>
        </w:rPr>
        <w:t xml:space="preserve"> million deux cent mille (1.200.000) de parts sociales ordinaires de catégorie A (les « </w:t>
      </w:r>
      <w:r>
        <w:rPr>
          <w:rFonts w:cstheme="minorHAnsi"/>
          <w:b/>
          <w:lang w:val="fr-FR"/>
        </w:rPr>
        <w:t>Parts Sociales de Catégorie A</w:t>
      </w:r>
      <w:r>
        <w:rPr>
          <w:rFonts w:cstheme="minorHAnsi"/>
          <w:lang w:val="fr-FR"/>
        </w:rPr>
        <w:t> ») ;</w:t>
      </w:r>
    </w:p>
    <w:p w14:paraId="6E1233C3" w14:textId="77777777" w:rsidR="00EC45B1" w:rsidRDefault="00000000">
      <w:pPr>
        <w:widowControl w:val="0"/>
        <w:numPr>
          <w:ilvl w:val="0"/>
          <w:numId w:val="11"/>
        </w:numPr>
        <w:ind w:left="1425" w:hanging="806"/>
        <w:jc w:val="both"/>
        <w:rPr>
          <w:rFonts w:cstheme="minorHAnsi"/>
          <w:lang w:val="fr-FR"/>
        </w:rPr>
      </w:pPr>
      <w:proofErr w:type="gramStart"/>
      <w:r>
        <w:rPr>
          <w:rFonts w:cstheme="minorHAnsi"/>
          <w:lang w:val="fr-FR"/>
        </w:rPr>
        <w:t>dix</w:t>
      </w:r>
      <w:proofErr w:type="gramEnd"/>
      <w:r>
        <w:rPr>
          <w:rFonts w:cstheme="minorHAnsi"/>
          <w:lang w:val="fr-FR"/>
        </w:rPr>
        <w:t xml:space="preserve"> mille (10.000) de parts sociales ordinaires de catégorie B (les « </w:t>
      </w:r>
      <w:r>
        <w:rPr>
          <w:rFonts w:cstheme="minorHAnsi"/>
          <w:b/>
          <w:lang w:val="fr-FR"/>
        </w:rPr>
        <w:t>Parts Sociales de Catégorie B </w:t>
      </w:r>
      <w:r>
        <w:rPr>
          <w:rFonts w:cstheme="minorHAnsi"/>
          <w:lang w:val="fr-FR"/>
        </w:rPr>
        <w:t>») ;</w:t>
      </w:r>
    </w:p>
    <w:p w14:paraId="4B58BB65" w14:textId="77777777" w:rsidR="00EC45B1" w:rsidRDefault="00000000">
      <w:pPr>
        <w:widowControl w:val="0"/>
        <w:numPr>
          <w:ilvl w:val="0"/>
          <w:numId w:val="11"/>
        </w:numPr>
        <w:ind w:left="1425" w:hanging="806"/>
        <w:jc w:val="both"/>
        <w:rPr>
          <w:rFonts w:cstheme="minorHAnsi"/>
          <w:lang w:val="fr-FR"/>
        </w:rPr>
      </w:pPr>
      <w:proofErr w:type="gramStart"/>
      <w:r>
        <w:rPr>
          <w:rFonts w:cstheme="minorHAnsi"/>
          <w:lang w:val="fr-FR"/>
        </w:rPr>
        <w:t>dix</w:t>
      </w:r>
      <w:proofErr w:type="gramEnd"/>
      <w:r>
        <w:rPr>
          <w:rFonts w:cstheme="minorHAnsi"/>
          <w:lang w:val="fr-FR"/>
        </w:rPr>
        <w:t xml:space="preserve"> mille (10.000) de parts sociales ordinaires de catégorie C (les «</w:t>
      </w:r>
      <w:r>
        <w:rPr>
          <w:rFonts w:cstheme="minorHAnsi"/>
          <w:b/>
          <w:lang w:val="fr-FR"/>
        </w:rPr>
        <w:t> Parts Sociales de Catégorie C</w:t>
      </w:r>
      <w:r>
        <w:rPr>
          <w:rFonts w:cstheme="minorHAnsi"/>
          <w:lang w:val="fr-FR"/>
        </w:rPr>
        <w:t> ») ;</w:t>
      </w:r>
    </w:p>
    <w:p w14:paraId="2619FFC3" w14:textId="77777777" w:rsidR="00EC45B1" w:rsidRDefault="00000000">
      <w:pPr>
        <w:widowControl w:val="0"/>
        <w:numPr>
          <w:ilvl w:val="0"/>
          <w:numId w:val="11"/>
        </w:numPr>
        <w:ind w:left="1425" w:hanging="806"/>
        <w:jc w:val="both"/>
        <w:rPr>
          <w:rFonts w:cstheme="minorHAnsi"/>
          <w:lang w:val="fr-FR"/>
        </w:rPr>
      </w:pPr>
      <w:proofErr w:type="gramStart"/>
      <w:r>
        <w:rPr>
          <w:rFonts w:cstheme="minorHAnsi"/>
          <w:lang w:val="fr-FR"/>
        </w:rPr>
        <w:t>dix</w:t>
      </w:r>
      <w:proofErr w:type="gramEnd"/>
      <w:r>
        <w:rPr>
          <w:rFonts w:cstheme="minorHAnsi"/>
          <w:lang w:val="fr-FR"/>
        </w:rPr>
        <w:t xml:space="preserve"> mille (10.000) de parts sociales ordinaires de catégorie D (les « </w:t>
      </w:r>
      <w:r>
        <w:rPr>
          <w:rFonts w:cstheme="minorHAnsi"/>
          <w:b/>
          <w:lang w:val="fr-FR"/>
        </w:rPr>
        <w:t>Parts Sociales de Catégorie D</w:t>
      </w:r>
      <w:r>
        <w:rPr>
          <w:rFonts w:cstheme="minorHAnsi"/>
          <w:lang w:val="fr-FR"/>
        </w:rPr>
        <w:t> ») ;</w:t>
      </w:r>
    </w:p>
    <w:p w14:paraId="4E75AF29" w14:textId="77777777" w:rsidR="00EC45B1" w:rsidRDefault="00000000">
      <w:pPr>
        <w:widowControl w:val="0"/>
        <w:numPr>
          <w:ilvl w:val="0"/>
          <w:numId w:val="11"/>
        </w:numPr>
        <w:ind w:left="1425" w:hanging="806"/>
        <w:jc w:val="both"/>
        <w:rPr>
          <w:rFonts w:cstheme="minorHAnsi"/>
          <w:lang w:val="fr-FR"/>
        </w:rPr>
      </w:pPr>
      <w:proofErr w:type="gramStart"/>
      <w:r>
        <w:rPr>
          <w:rFonts w:cstheme="minorHAnsi"/>
          <w:lang w:val="fr-FR"/>
        </w:rPr>
        <w:t>dix</w:t>
      </w:r>
      <w:proofErr w:type="gramEnd"/>
      <w:r>
        <w:rPr>
          <w:rFonts w:cstheme="minorHAnsi"/>
          <w:lang w:val="fr-FR"/>
        </w:rPr>
        <w:t xml:space="preserve"> mille (10.000) de parts sociales ordinaires de catégorie E (les « </w:t>
      </w:r>
      <w:r>
        <w:rPr>
          <w:rFonts w:cstheme="minorHAnsi"/>
          <w:b/>
          <w:lang w:val="fr-FR"/>
        </w:rPr>
        <w:t>Parts Sociales de Catégorie E</w:t>
      </w:r>
      <w:r>
        <w:rPr>
          <w:rFonts w:cstheme="minorHAnsi"/>
          <w:lang w:val="fr-FR"/>
        </w:rPr>
        <w:t> ») ;</w:t>
      </w:r>
    </w:p>
    <w:p w14:paraId="13CD9123" w14:textId="77777777" w:rsidR="00EC45B1" w:rsidRDefault="00000000">
      <w:pPr>
        <w:widowControl w:val="0"/>
        <w:numPr>
          <w:ilvl w:val="0"/>
          <w:numId w:val="11"/>
        </w:numPr>
        <w:ind w:left="1425" w:hanging="806"/>
        <w:jc w:val="both"/>
        <w:rPr>
          <w:rFonts w:cstheme="minorHAnsi"/>
          <w:lang w:val="fr-FR"/>
        </w:rPr>
      </w:pPr>
      <w:proofErr w:type="gramStart"/>
      <w:r>
        <w:rPr>
          <w:rFonts w:cstheme="minorHAnsi"/>
          <w:lang w:val="fr-FR"/>
        </w:rPr>
        <w:lastRenderedPageBreak/>
        <w:t>dix</w:t>
      </w:r>
      <w:proofErr w:type="gramEnd"/>
      <w:r>
        <w:rPr>
          <w:rFonts w:cstheme="minorHAnsi"/>
          <w:lang w:val="fr-FR"/>
        </w:rPr>
        <w:t xml:space="preserve"> mille (10.000) de parts sociales ordinaires de catégorie F (les « </w:t>
      </w:r>
      <w:r>
        <w:rPr>
          <w:rFonts w:cstheme="minorHAnsi"/>
          <w:b/>
          <w:lang w:val="fr-FR"/>
        </w:rPr>
        <w:t>Parts Sociales de Catégorie F</w:t>
      </w:r>
      <w:r>
        <w:rPr>
          <w:rFonts w:cstheme="minorHAnsi"/>
          <w:lang w:val="fr-FR"/>
        </w:rPr>
        <w:t> ») ;</w:t>
      </w:r>
    </w:p>
    <w:p w14:paraId="5045AC01" w14:textId="77777777" w:rsidR="00EC45B1" w:rsidRDefault="00000000">
      <w:pPr>
        <w:widowControl w:val="0"/>
        <w:numPr>
          <w:ilvl w:val="0"/>
          <w:numId w:val="11"/>
        </w:numPr>
        <w:ind w:left="1425" w:hanging="806"/>
        <w:jc w:val="both"/>
        <w:rPr>
          <w:rFonts w:cstheme="minorHAnsi"/>
          <w:lang w:val="fr-FR"/>
        </w:rPr>
      </w:pPr>
      <w:proofErr w:type="gramStart"/>
      <w:r>
        <w:rPr>
          <w:rFonts w:cstheme="minorHAnsi"/>
          <w:lang w:val="fr-FR"/>
        </w:rPr>
        <w:t>dix</w:t>
      </w:r>
      <w:proofErr w:type="gramEnd"/>
      <w:r>
        <w:rPr>
          <w:rFonts w:cstheme="minorHAnsi"/>
          <w:lang w:val="fr-FR"/>
        </w:rPr>
        <w:t xml:space="preserve"> mille (10.000) de parts sociales ordinaires de catégorie G (les « </w:t>
      </w:r>
      <w:r>
        <w:rPr>
          <w:rFonts w:cstheme="minorHAnsi"/>
          <w:b/>
          <w:lang w:val="fr-FR"/>
        </w:rPr>
        <w:t>Parts Sociales de Catégorie G</w:t>
      </w:r>
      <w:r>
        <w:rPr>
          <w:rFonts w:cstheme="minorHAnsi"/>
          <w:lang w:val="fr-FR"/>
        </w:rPr>
        <w:t> ») ;</w:t>
      </w:r>
    </w:p>
    <w:p w14:paraId="1BE4765C" w14:textId="77777777" w:rsidR="00EC45B1" w:rsidRDefault="00000000">
      <w:pPr>
        <w:widowControl w:val="0"/>
        <w:numPr>
          <w:ilvl w:val="0"/>
          <w:numId w:val="11"/>
        </w:numPr>
        <w:ind w:left="1425" w:hanging="806"/>
        <w:jc w:val="both"/>
        <w:rPr>
          <w:rFonts w:cstheme="minorHAnsi"/>
          <w:lang w:val="fr-FR"/>
        </w:rPr>
      </w:pPr>
      <w:proofErr w:type="gramStart"/>
      <w:r>
        <w:rPr>
          <w:rFonts w:cstheme="minorHAnsi"/>
          <w:lang w:val="fr-FR"/>
        </w:rPr>
        <w:t>dix</w:t>
      </w:r>
      <w:proofErr w:type="gramEnd"/>
      <w:r>
        <w:rPr>
          <w:rFonts w:cstheme="minorHAnsi"/>
          <w:lang w:val="fr-FR"/>
        </w:rPr>
        <w:t xml:space="preserve"> mille (10.000) de parts sociales ordinaires de catégorie H (les « </w:t>
      </w:r>
      <w:r>
        <w:rPr>
          <w:rFonts w:cstheme="minorHAnsi"/>
          <w:b/>
          <w:lang w:val="fr-FR"/>
        </w:rPr>
        <w:t>Parts Sociales de Catégorie H</w:t>
      </w:r>
      <w:r>
        <w:rPr>
          <w:rFonts w:cstheme="minorHAnsi"/>
          <w:lang w:val="fr-FR"/>
        </w:rPr>
        <w:t> ») ;</w:t>
      </w:r>
    </w:p>
    <w:p w14:paraId="269D72A7" w14:textId="77777777" w:rsidR="00EC45B1" w:rsidRDefault="00000000">
      <w:pPr>
        <w:widowControl w:val="0"/>
        <w:numPr>
          <w:ilvl w:val="0"/>
          <w:numId w:val="11"/>
        </w:numPr>
        <w:ind w:left="1425" w:hanging="806"/>
        <w:jc w:val="both"/>
        <w:rPr>
          <w:rFonts w:cstheme="minorHAnsi"/>
          <w:lang w:val="fr-FR"/>
        </w:rPr>
      </w:pPr>
      <w:proofErr w:type="gramStart"/>
      <w:r>
        <w:rPr>
          <w:rFonts w:cstheme="minorHAnsi"/>
          <w:lang w:val="fr-FR"/>
        </w:rPr>
        <w:t>dix</w:t>
      </w:r>
      <w:proofErr w:type="gramEnd"/>
      <w:r>
        <w:rPr>
          <w:rFonts w:cstheme="minorHAnsi"/>
          <w:lang w:val="fr-FR"/>
        </w:rPr>
        <w:t xml:space="preserve"> mille (10.000) de parts sociales ordinaires de catégorie I (les </w:t>
      </w:r>
      <w:r>
        <w:rPr>
          <w:rFonts w:cstheme="minorHAnsi"/>
          <w:b/>
          <w:lang w:val="fr-FR"/>
        </w:rPr>
        <w:t>« Parts Sociales de Catégorie I</w:t>
      </w:r>
      <w:r>
        <w:rPr>
          <w:rFonts w:cstheme="minorHAnsi"/>
          <w:lang w:val="fr-FR"/>
        </w:rPr>
        <w:t xml:space="preserve"> ») ; et </w:t>
      </w:r>
    </w:p>
    <w:p w14:paraId="0144323C" w14:textId="77777777" w:rsidR="00EC45B1" w:rsidRDefault="00000000">
      <w:pPr>
        <w:pStyle w:val="ListParagraph"/>
        <w:widowControl w:val="0"/>
        <w:numPr>
          <w:ilvl w:val="0"/>
          <w:numId w:val="11"/>
        </w:numPr>
        <w:ind w:left="1425" w:hanging="806"/>
        <w:jc w:val="both"/>
        <w:rPr>
          <w:rFonts w:cstheme="minorHAnsi"/>
          <w:lang w:val="fr-FR"/>
        </w:rPr>
      </w:pPr>
      <w:proofErr w:type="gramStart"/>
      <w:r>
        <w:rPr>
          <w:rFonts w:cstheme="minorHAnsi"/>
          <w:lang w:val="fr-FR"/>
        </w:rPr>
        <w:t>dix</w:t>
      </w:r>
      <w:proofErr w:type="gramEnd"/>
      <w:r>
        <w:rPr>
          <w:rFonts w:cstheme="minorHAnsi"/>
          <w:lang w:val="fr-FR"/>
        </w:rPr>
        <w:t xml:space="preserve"> mille (10.000) de parts sociales ordinaires de catégorie J (les « </w:t>
      </w:r>
      <w:r>
        <w:rPr>
          <w:rFonts w:cstheme="minorHAnsi"/>
          <w:b/>
          <w:lang w:val="fr-FR"/>
        </w:rPr>
        <w:t>Parts Sociales de Catégorie J</w:t>
      </w:r>
      <w:r>
        <w:rPr>
          <w:rFonts w:cstheme="minorHAnsi"/>
          <w:lang w:val="fr-FR"/>
        </w:rPr>
        <w:t> »).</w:t>
      </w:r>
    </w:p>
    <w:p w14:paraId="3047D8CD" w14:textId="77777777" w:rsidR="00EC45B1" w:rsidRDefault="00000000">
      <w:pPr>
        <w:widowControl w:val="0"/>
        <w:ind w:left="450"/>
        <w:jc w:val="both"/>
        <w:rPr>
          <w:rFonts w:cstheme="minorHAnsi"/>
          <w:szCs w:val="24"/>
          <w:lang w:val="fr-FR"/>
        </w:rPr>
      </w:pPr>
      <w:r>
        <w:rPr>
          <w:rFonts w:cstheme="minorHAnsi"/>
          <w:szCs w:val="24"/>
          <w:lang w:val="fr-FR"/>
        </w:rPr>
        <w:t>Les catégories de parts sociales A à J seront définies comme les « </w:t>
      </w:r>
      <w:r>
        <w:rPr>
          <w:rFonts w:cstheme="minorHAnsi"/>
          <w:b/>
          <w:szCs w:val="24"/>
          <w:lang w:val="fr-FR"/>
        </w:rPr>
        <w:t>Parts Sociales</w:t>
      </w:r>
      <w:r>
        <w:rPr>
          <w:rFonts w:cstheme="minorHAnsi"/>
          <w:szCs w:val="24"/>
          <w:lang w:val="fr-FR"/>
        </w:rPr>
        <w:t> », chacune ayant les droits et obligations définis dans les Statuts. Chaque part sociale confère une voix lors des assemblées ordinaires et extraordinaires des associés. Dans les présents Statuts, « </w:t>
      </w:r>
      <w:r>
        <w:rPr>
          <w:rFonts w:cstheme="minorHAnsi"/>
          <w:b/>
          <w:szCs w:val="24"/>
          <w:lang w:val="fr-FR"/>
        </w:rPr>
        <w:t>Associés</w:t>
      </w:r>
      <w:r>
        <w:rPr>
          <w:rFonts w:cstheme="minorHAnsi"/>
          <w:szCs w:val="24"/>
          <w:lang w:val="fr-FR"/>
        </w:rPr>
        <w:t> » signifie détenteurs de Parts Sociales de temps en temps et « </w:t>
      </w:r>
      <w:r>
        <w:rPr>
          <w:rFonts w:cstheme="minorHAnsi"/>
          <w:b/>
          <w:szCs w:val="24"/>
          <w:lang w:val="fr-FR"/>
        </w:rPr>
        <w:t>Associé</w:t>
      </w:r>
      <w:r>
        <w:rPr>
          <w:rFonts w:cstheme="minorHAnsi"/>
          <w:szCs w:val="24"/>
          <w:lang w:val="fr-FR"/>
        </w:rPr>
        <w:t> » devra être interprété en conséquence.</w:t>
      </w:r>
    </w:p>
    <w:p w14:paraId="4F55025F" w14:textId="77777777" w:rsidR="00EC45B1" w:rsidRDefault="00EC45B1">
      <w:pPr>
        <w:pStyle w:val="AoALevel3Article11"/>
        <w:widowControl w:val="0"/>
        <w:numPr>
          <w:ilvl w:val="0"/>
          <w:numId w:val="0"/>
        </w:numPr>
        <w:spacing w:after="0"/>
        <w:contextualSpacing/>
        <w:rPr>
          <w:lang w:val="fr-BE"/>
        </w:rPr>
      </w:pPr>
    </w:p>
    <w:p w14:paraId="0B48C9F3"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5.2</w:t>
      </w:r>
      <w:r>
        <w:rPr>
          <w:lang w:val="fr-BE"/>
        </w:rPr>
        <w:tab/>
        <w:t>En plus du capital social, les Parts Sociales peuvent être émises avec une prime d'émission qui est reflétée dans un compte de prime d’émission de la Société (le « </w:t>
      </w:r>
      <w:r>
        <w:rPr>
          <w:b/>
          <w:bCs w:val="0"/>
          <w:lang w:val="fr-BE"/>
        </w:rPr>
        <w:t>Compte de Prime d'Emission</w:t>
      </w:r>
      <w:r>
        <w:rPr>
          <w:lang w:val="fr-BE"/>
        </w:rPr>
        <w:t> »). Le Compte de Prime d’Emission n’est allouable à aucune catégorie de Parts Sociales existant de temps à autre et peut être utilisé pour financer le rachat d’une catégorie de Parts Sociales si le conseil de gérance le décide.</w:t>
      </w:r>
    </w:p>
    <w:p w14:paraId="02781964" w14:textId="77777777" w:rsidR="00EC45B1" w:rsidRDefault="00EC45B1">
      <w:pPr>
        <w:pStyle w:val="AoALevel3Article11"/>
        <w:widowControl w:val="0"/>
        <w:numPr>
          <w:ilvl w:val="0"/>
          <w:numId w:val="0"/>
        </w:numPr>
        <w:spacing w:after="0"/>
        <w:ind w:left="450"/>
        <w:contextualSpacing/>
        <w:rPr>
          <w:lang w:val="fr-BE"/>
        </w:rPr>
      </w:pPr>
    </w:p>
    <w:p w14:paraId="5472C7F3" w14:textId="77777777" w:rsidR="00EC45B1" w:rsidRDefault="00000000">
      <w:pPr>
        <w:widowControl w:val="0"/>
        <w:ind w:left="450"/>
        <w:jc w:val="both"/>
        <w:rPr>
          <w:rFonts w:cstheme="minorHAnsi"/>
          <w:szCs w:val="24"/>
          <w:lang w:val="fr-FR"/>
        </w:rPr>
      </w:pPr>
      <w:r>
        <w:rPr>
          <w:rFonts w:cstheme="minorHAnsi"/>
          <w:szCs w:val="24"/>
          <w:lang w:val="fr-FR"/>
        </w:rPr>
        <w:t>La Société peut, sans restriction, accepter des contributions en numéraire ou d'autres contributions sans émettre de Parts Sociales ou d'autres titres en contrepartie de celles-ci et peut inscrire ces contributions sur un ou plusieurs comptes (les « </w:t>
      </w:r>
      <w:r>
        <w:rPr>
          <w:rFonts w:cstheme="minorHAnsi"/>
          <w:b/>
          <w:szCs w:val="24"/>
          <w:lang w:val="fr-FR"/>
        </w:rPr>
        <w:t>Comptes de Capital Surplus</w:t>
      </w:r>
      <w:r>
        <w:rPr>
          <w:rFonts w:cstheme="minorHAnsi"/>
          <w:szCs w:val="24"/>
          <w:lang w:val="fr-FR"/>
        </w:rPr>
        <w:t> »). Les décisions relatives à l'utilisation de l'un de ces comptes doivent être prises par le Conseil de Gérance conformément à la Loi des Sociétés et aux présents Statuts. Pour éviter tout doute une telle décision ne doit allouer aucune des contributions au contributeur.</w:t>
      </w:r>
    </w:p>
    <w:p w14:paraId="526D9F14" w14:textId="77777777" w:rsidR="00EC45B1" w:rsidRDefault="00EC45B1">
      <w:pPr>
        <w:widowControl w:val="0"/>
        <w:ind w:left="450"/>
        <w:jc w:val="both"/>
        <w:rPr>
          <w:rFonts w:cstheme="minorHAnsi"/>
          <w:szCs w:val="24"/>
          <w:lang w:val="fr-FR"/>
        </w:rPr>
      </w:pPr>
    </w:p>
    <w:p w14:paraId="527C9F07" w14:textId="77777777" w:rsidR="00EC45B1" w:rsidRDefault="00000000">
      <w:pPr>
        <w:widowControl w:val="0"/>
        <w:ind w:left="450"/>
        <w:jc w:val="both"/>
        <w:rPr>
          <w:rFonts w:cstheme="minorHAnsi"/>
          <w:szCs w:val="24"/>
          <w:lang w:val="fr-FR"/>
        </w:rPr>
      </w:pPr>
      <w:r>
        <w:rPr>
          <w:rFonts w:cstheme="minorHAnsi"/>
          <w:szCs w:val="24"/>
          <w:lang w:val="fr-FR"/>
        </w:rPr>
        <w:t xml:space="preserve">Les montants dans le Compte de Prime d’Emission et les Comptes de Capital Surplus pourront être utilisés par le conseil de gérance pour, </w:t>
      </w:r>
      <w:r>
        <w:rPr>
          <w:rFonts w:cstheme="minorHAnsi"/>
          <w:i/>
          <w:szCs w:val="24"/>
          <w:lang w:val="fr-FR"/>
        </w:rPr>
        <w:t>inter alia</w:t>
      </w:r>
      <w:r>
        <w:rPr>
          <w:rFonts w:cstheme="minorHAnsi"/>
          <w:szCs w:val="24"/>
          <w:lang w:val="fr-FR"/>
        </w:rPr>
        <w:t>, repayer toute perte de la Société, réalisée ou non, ou payer tout dividende ou autre distribution.</w:t>
      </w:r>
    </w:p>
    <w:p w14:paraId="11EDA471" w14:textId="77777777" w:rsidR="00EC45B1" w:rsidRDefault="00EC45B1">
      <w:pPr>
        <w:widowControl w:val="0"/>
        <w:ind w:left="450"/>
        <w:jc w:val="both"/>
        <w:rPr>
          <w:rFonts w:cstheme="minorHAnsi"/>
          <w:szCs w:val="24"/>
          <w:lang w:val="fr-FR"/>
        </w:rPr>
      </w:pPr>
    </w:p>
    <w:p w14:paraId="64CA2ECF"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5.3</w:t>
      </w:r>
      <w:r>
        <w:rPr>
          <w:lang w:val="fr-BE"/>
        </w:rPr>
        <w:tab/>
        <w:t xml:space="preserve">La Société aura un capital autorisé de dix millions d’euros (EUR </w:t>
      </w:r>
      <w:proofErr w:type="gramStart"/>
      <w:r>
        <w:rPr>
          <w:lang w:val="fr-BE"/>
        </w:rPr>
        <w:t>10.000.000,-</w:t>
      </w:r>
      <w:proofErr w:type="gramEnd"/>
      <w:r>
        <w:rPr>
          <w:lang w:val="fr-BE"/>
        </w:rPr>
        <w:t xml:space="preserve"> ) représenté par un milliard (1.000.000.000) de Parts Sociales d’un centime d’euro (EUR 0,01) chacune, divisées en :</w:t>
      </w:r>
    </w:p>
    <w:p w14:paraId="3B729809" w14:textId="77777777" w:rsidR="00EC45B1" w:rsidRDefault="00000000">
      <w:pPr>
        <w:widowControl w:val="0"/>
        <w:numPr>
          <w:ilvl w:val="0"/>
          <w:numId w:val="12"/>
        </w:numPr>
        <w:jc w:val="both"/>
        <w:rPr>
          <w:rFonts w:cstheme="minorHAnsi"/>
          <w:szCs w:val="24"/>
          <w:lang w:val="fr-FR"/>
        </w:rPr>
      </w:pPr>
      <w:proofErr w:type="gramStart"/>
      <w:r>
        <w:rPr>
          <w:rFonts w:cstheme="minorHAnsi"/>
          <w:szCs w:val="24"/>
          <w:lang w:val="fr-FR"/>
        </w:rPr>
        <w:t>cent</w:t>
      </w:r>
      <w:proofErr w:type="gramEnd"/>
      <w:r>
        <w:rPr>
          <w:rFonts w:cstheme="minorHAnsi"/>
          <w:szCs w:val="24"/>
          <w:lang w:val="fr-FR"/>
        </w:rPr>
        <w:t xml:space="preserve"> millions (100.000.000) de Parts Sociales de Catégorie A ;</w:t>
      </w:r>
    </w:p>
    <w:p w14:paraId="363F6D22" w14:textId="77777777" w:rsidR="00EC45B1" w:rsidRDefault="00000000">
      <w:pPr>
        <w:widowControl w:val="0"/>
        <w:numPr>
          <w:ilvl w:val="0"/>
          <w:numId w:val="12"/>
        </w:numPr>
        <w:jc w:val="both"/>
        <w:rPr>
          <w:rFonts w:cstheme="minorHAnsi"/>
          <w:szCs w:val="24"/>
          <w:lang w:val="fr-FR"/>
        </w:rPr>
      </w:pPr>
      <w:proofErr w:type="gramStart"/>
      <w:r>
        <w:rPr>
          <w:rFonts w:cstheme="minorHAnsi"/>
          <w:szCs w:val="24"/>
          <w:lang w:val="fr-FR"/>
        </w:rPr>
        <w:t>cent</w:t>
      </w:r>
      <w:proofErr w:type="gramEnd"/>
      <w:r>
        <w:rPr>
          <w:rFonts w:cstheme="minorHAnsi"/>
          <w:szCs w:val="24"/>
          <w:lang w:val="fr-FR"/>
        </w:rPr>
        <w:t xml:space="preserve"> millions (100.000.000) de Parts Sociales de Catégorie B ;</w:t>
      </w:r>
    </w:p>
    <w:p w14:paraId="3A4A7F5A" w14:textId="77777777" w:rsidR="00EC45B1" w:rsidRDefault="00000000">
      <w:pPr>
        <w:widowControl w:val="0"/>
        <w:numPr>
          <w:ilvl w:val="0"/>
          <w:numId w:val="12"/>
        </w:numPr>
        <w:jc w:val="both"/>
        <w:rPr>
          <w:rFonts w:cstheme="minorHAnsi"/>
          <w:szCs w:val="24"/>
          <w:lang w:val="fr-FR"/>
        </w:rPr>
      </w:pPr>
      <w:proofErr w:type="gramStart"/>
      <w:r>
        <w:rPr>
          <w:rFonts w:cstheme="minorHAnsi"/>
          <w:szCs w:val="24"/>
          <w:lang w:val="fr-FR"/>
        </w:rPr>
        <w:t>cent</w:t>
      </w:r>
      <w:proofErr w:type="gramEnd"/>
      <w:r>
        <w:rPr>
          <w:rFonts w:cstheme="minorHAnsi"/>
          <w:szCs w:val="24"/>
          <w:lang w:val="fr-FR"/>
        </w:rPr>
        <w:t xml:space="preserve"> millions (100.000.000) de Parts Sociales de Catégorie C ;</w:t>
      </w:r>
    </w:p>
    <w:p w14:paraId="57047CE8" w14:textId="77777777" w:rsidR="00EC45B1" w:rsidRDefault="00000000">
      <w:pPr>
        <w:widowControl w:val="0"/>
        <w:numPr>
          <w:ilvl w:val="0"/>
          <w:numId w:val="12"/>
        </w:numPr>
        <w:jc w:val="both"/>
        <w:rPr>
          <w:rFonts w:cstheme="minorHAnsi"/>
          <w:szCs w:val="24"/>
          <w:lang w:val="fr-FR"/>
        </w:rPr>
      </w:pPr>
      <w:proofErr w:type="gramStart"/>
      <w:r>
        <w:rPr>
          <w:rFonts w:cstheme="minorHAnsi"/>
          <w:szCs w:val="24"/>
          <w:lang w:val="fr-FR"/>
        </w:rPr>
        <w:t>cent</w:t>
      </w:r>
      <w:proofErr w:type="gramEnd"/>
      <w:r>
        <w:rPr>
          <w:rFonts w:cstheme="minorHAnsi"/>
          <w:szCs w:val="24"/>
          <w:lang w:val="fr-FR"/>
        </w:rPr>
        <w:t xml:space="preserve"> millions (100.000.000) de Parts Sociales de Catégorie D ;</w:t>
      </w:r>
    </w:p>
    <w:p w14:paraId="6238A89F" w14:textId="77777777" w:rsidR="00EC45B1" w:rsidRDefault="00000000">
      <w:pPr>
        <w:widowControl w:val="0"/>
        <w:numPr>
          <w:ilvl w:val="0"/>
          <w:numId w:val="12"/>
        </w:numPr>
        <w:jc w:val="both"/>
        <w:rPr>
          <w:rFonts w:cstheme="minorHAnsi"/>
          <w:szCs w:val="24"/>
          <w:lang w:val="fr-FR"/>
        </w:rPr>
      </w:pPr>
      <w:proofErr w:type="gramStart"/>
      <w:r>
        <w:rPr>
          <w:rFonts w:cstheme="minorHAnsi"/>
          <w:szCs w:val="24"/>
          <w:lang w:val="fr-FR"/>
        </w:rPr>
        <w:t>cent</w:t>
      </w:r>
      <w:proofErr w:type="gramEnd"/>
      <w:r>
        <w:rPr>
          <w:rFonts w:cstheme="minorHAnsi"/>
          <w:szCs w:val="24"/>
          <w:lang w:val="fr-FR"/>
        </w:rPr>
        <w:t xml:space="preserve"> millions (100.000.000) de Parts Sociales de Catégorie E ;</w:t>
      </w:r>
    </w:p>
    <w:p w14:paraId="32A9BB85" w14:textId="77777777" w:rsidR="00EC45B1" w:rsidRDefault="00000000">
      <w:pPr>
        <w:widowControl w:val="0"/>
        <w:numPr>
          <w:ilvl w:val="0"/>
          <w:numId w:val="12"/>
        </w:numPr>
        <w:jc w:val="both"/>
        <w:rPr>
          <w:rFonts w:cstheme="minorHAnsi"/>
          <w:szCs w:val="24"/>
          <w:lang w:val="fr-FR"/>
        </w:rPr>
      </w:pPr>
      <w:proofErr w:type="gramStart"/>
      <w:r>
        <w:rPr>
          <w:rFonts w:cstheme="minorHAnsi"/>
          <w:szCs w:val="24"/>
          <w:lang w:val="fr-FR"/>
        </w:rPr>
        <w:t>cent</w:t>
      </w:r>
      <w:proofErr w:type="gramEnd"/>
      <w:r>
        <w:rPr>
          <w:rFonts w:cstheme="minorHAnsi"/>
          <w:szCs w:val="24"/>
          <w:lang w:val="fr-FR"/>
        </w:rPr>
        <w:t xml:space="preserve"> millions (100.000.000) de Parts Sociales de Catégorie F ;</w:t>
      </w:r>
    </w:p>
    <w:p w14:paraId="348BBC67" w14:textId="77777777" w:rsidR="00EC45B1" w:rsidRDefault="00000000">
      <w:pPr>
        <w:widowControl w:val="0"/>
        <w:numPr>
          <w:ilvl w:val="0"/>
          <w:numId w:val="12"/>
        </w:numPr>
        <w:jc w:val="both"/>
        <w:rPr>
          <w:rFonts w:cstheme="minorHAnsi"/>
          <w:szCs w:val="24"/>
          <w:lang w:val="fr-FR"/>
        </w:rPr>
      </w:pPr>
      <w:proofErr w:type="gramStart"/>
      <w:r>
        <w:rPr>
          <w:rFonts w:cstheme="minorHAnsi"/>
          <w:szCs w:val="24"/>
          <w:lang w:val="fr-FR"/>
        </w:rPr>
        <w:t>cent</w:t>
      </w:r>
      <w:proofErr w:type="gramEnd"/>
      <w:r>
        <w:rPr>
          <w:rFonts w:cstheme="minorHAnsi"/>
          <w:szCs w:val="24"/>
          <w:lang w:val="fr-FR"/>
        </w:rPr>
        <w:t xml:space="preserve"> millions (100.000.000) de Parts Sociales de Catégorie G ;</w:t>
      </w:r>
    </w:p>
    <w:p w14:paraId="6FC78226" w14:textId="77777777" w:rsidR="00EC45B1" w:rsidRDefault="00000000">
      <w:pPr>
        <w:widowControl w:val="0"/>
        <w:numPr>
          <w:ilvl w:val="0"/>
          <w:numId w:val="12"/>
        </w:numPr>
        <w:jc w:val="both"/>
        <w:rPr>
          <w:rFonts w:cstheme="minorHAnsi"/>
          <w:szCs w:val="24"/>
          <w:lang w:val="fr-FR"/>
        </w:rPr>
      </w:pPr>
      <w:proofErr w:type="gramStart"/>
      <w:r>
        <w:rPr>
          <w:rFonts w:cstheme="minorHAnsi"/>
          <w:szCs w:val="24"/>
          <w:lang w:val="fr-FR"/>
        </w:rPr>
        <w:t>cent</w:t>
      </w:r>
      <w:proofErr w:type="gramEnd"/>
      <w:r>
        <w:rPr>
          <w:rFonts w:cstheme="minorHAnsi"/>
          <w:szCs w:val="24"/>
          <w:lang w:val="fr-FR"/>
        </w:rPr>
        <w:t xml:space="preserve"> millions (100.000.000) de Parts Sociales de Catégorie H ;</w:t>
      </w:r>
    </w:p>
    <w:p w14:paraId="53D8D7A0" w14:textId="77777777" w:rsidR="00EC45B1" w:rsidRDefault="00000000">
      <w:pPr>
        <w:widowControl w:val="0"/>
        <w:numPr>
          <w:ilvl w:val="0"/>
          <w:numId w:val="12"/>
        </w:numPr>
        <w:jc w:val="both"/>
        <w:rPr>
          <w:rFonts w:cstheme="minorHAnsi"/>
          <w:szCs w:val="24"/>
          <w:lang w:val="fr-FR"/>
        </w:rPr>
      </w:pPr>
      <w:proofErr w:type="gramStart"/>
      <w:r>
        <w:rPr>
          <w:rFonts w:cstheme="minorHAnsi"/>
          <w:szCs w:val="24"/>
          <w:lang w:val="fr-FR"/>
        </w:rPr>
        <w:t>cent</w:t>
      </w:r>
      <w:proofErr w:type="gramEnd"/>
      <w:r>
        <w:rPr>
          <w:rFonts w:cstheme="minorHAnsi"/>
          <w:szCs w:val="24"/>
          <w:lang w:val="fr-FR"/>
        </w:rPr>
        <w:t xml:space="preserve"> millions (100.000.000) de Parts Sociales de Catégorie I ; et </w:t>
      </w:r>
    </w:p>
    <w:p w14:paraId="40D4FDA6" w14:textId="77777777" w:rsidR="00EC45B1" w:rsidRDefault="00000000">
      <w:pPr>
        <w:widowControl w:val="0"/>
        <w:numPr>
          <w:ilvl w:val="0"/>
          <w:numId w:val="12"/>
        </w:numPr>
        <w:jc w:val="both"/>
        <w:rPr>
          <w:rFonts w:cstheme="minorHAnsi"/>
          <w:szCs w:val="24"/>
          <w:lang w:val="fr-FR"/>
        </w:rPr>
      </w:pPr>
      <w:proofErr w:type="gramStart"/>
      <w:r>
        <w:rPr>
          <w:rFonts w:cstheme="minorHAnsi"/>
          <w:szCs w:val="24"/>
          <w:lang w:val="fr-FR"/>
        </w:rPr>
        <w:t>cent</w:t>
      </w:r>
      <w:proofErr w:type="gramEnd"/>
      <w:r>
        <w:rPr>
          <w:rFonts w:cstheme="minorHAnsi"/>
          <w:szCs w:val="24"/>
          <w:lang w:val="fr-FR"/>
        </w:rPr>
        <w:t xml:space="preserve"> millions (100.000.000) de Parts Sociales de Catégorie J.</w:t>
      </w:r>
    </w:p>
    <w:p w14:paraId="4613B20E" w14:textId="77777777" w:rsidR="00EC45B1" w:rsidRDefault="00EC45B1">
      <w:pPr>
        <w:widowControl w:val="0"/>
        <w:ind w:firstLine="450"/>
        <w:jc w:val="both"/>
        <w:rPr>
          <w:rFonts w:cstheme="minorHAnsi"/>
          <w:szCs w:val="24"/>
          <w:lang w:val="fr-FR"/>
        </w:rPr>
      </w:pPr>
    </w:p>
    <w:p w14:paraId="7CA29A60" w14:textId="77777777" w:rsidR="00EC45B1" w:rsidRDefault="00000000">
      <w:pPr>
        <w:widowControl w:val="0"/>
        <w:ind w:firstLine="450"/>
        <w:jc w:val="both"/>
        <w:rPr>
          <w:rFonts w:cstheme="minorHAnsi"/>
          <w:szCs w:val="24"/>
          <w:lang w:val="fr-FR"/>
        </w:rPr>
      </w:pPr>
      <w:r>
        <w:rPr>
          <w:rFonts w:cstheme="minorHAnsi"/>
          <w:szCs w:val="24"/>
          <w:lang w:val="fr-FR"/>
        </w:rPr>
        <w:t xml:space="preserve">Le conseil de gérance est autorisé à, et mandaté </w:t>
      </w:r>
      <w:proofErr w:type="gramStart"/>
      <w:r>
        <w:rPr>
          <w:rFonts w:cstheme="minorHAnsi"/>
          <w:szCs w:val="24"/>
          <w:lang w:val="fr-FR"/>
        </w:rPr>
        <w:t>pour:</w:t>
      </w:r>
      <w:proofErr w:type="gramEnd"/>
    </w:p>
    <w:p w14:paraId="0509462C" w14:textId="77777777" w:rsidR="00EC45B1" w:rsidRDefault="00000000">
      <w:pPr>
        <w:widowControl w:val="0"/>
        <w:tabs>
          <w:tab w:val="left" w:pos="294"/>
        </w:tabs>
        <w:ind w:left="990"/>
        <w:jc w:val="both"/>
        <w:rPr>
          <w:rFonts w:cstheme="minorHAnsi"/>
          <w:lang w:val="fr-FR"/>
        </w:rPr>
      </w:pPr>
      <w:r>
        <w:rPr>
          <w:rFonts w:cstheme="minorHAnsi"/>
          <w:lang w:val="fr-FR"/>
        </w:rPr>
        <w:t>– augmenter le capital social de la Société dans les limites du capital autorisé, en une seule fois ou par tranches successives, par émission de Parts Sociales nouvelles avec ou sans prime d’émission, à libérer par voie de versements en espèces, d'apports en nature, par conversion de créances, par conversion de titres préférentiels convertibles ou d’autres titres convertibles ou instruments similaires ou, sur approbation de l'assemblée générale annuelle, par voie d'incorporation de bénéfices ou réserves au capital;</w:t>
      </w:r>
    </w:p>
    <w:p w14:paraId="4FD5ABAC" w14:textId="77777777" w:rsidR="00EC45B1" w:rsidRDefault="00000000">
      <w:pPr>
        <w:widowControl w:val="0"/>
        <w:tabs>
          <w:tab w:val="left" w:pos="294"/>
        </w:tabs>
        <w:ind w:left="990"/>
        <w:jc w:val="both"/>
        <w:rPr>
          <w:rFonts w:cstheme="minorHAnsi"/>
          <w:lang w:val="fr-FR"/>
        </w:rPr>
      </w:pPr>
      <w:r>
        <w:rPr>
          <w:rFonts w:cstheme="minorHAnsi"/>
          <w:lang w:val="fr-FR"/>
        </w:rPr>
        <w:t xml:space="preserve">– fixer le lieu et la date de l'émission ou des émissions successives, le prix d'émission, les conditions et modalités de souscription et de libération de Parts Sociales </w:t>
      </w:r>
      <w:proofErr w:type="gramStart"/>
      <w:r>
        <w:rPr>
          <w:rFonts w:cstheme="minorHAnsi"/>
          <w:lang w:val="fr-FR"/>
        </w:rPr>
        <w:t>nouvelles;</w:t>
      </w:r>
      <w:proofErr w:type="gramEnd"/>
    </w:p>
    <w:p w14:paraId="5327CD56" w14:textId="77777777" w:rsidR="00EC45B1" w:rsidRDefault="00EC45B1">
      <w:pPr>
        <w:widowControl w:val="0"/>
        <w:ind w:firstLine="709"/>
        <w:jc w:val="both"/>
        <w:rPr>
          <w:rFonts w:cstheme="minorHAnsi"/>
          <w:szCs w:val="24"/>
          <w:lang w:val="fr-FR"/>
        </w:rPr>
      </w:pPr>
    </w:p>
    <w:p w14:paraId="38FD2CA4" w14:textId="77777777" w:rsidR="00EC45B1" w:rsidRDefault="00000000">
      <w:pPr>
        <w:widowControl w:val="0"/>
        <w:ind w:firstLine="450"/>
        <w:jc w:val="both"/>
        <w:rPr>
          <w:rFonts w:cstheme="minorHAnsi"/>
          <w:szCs w:val="24"/>
          <w:lang w:val="fr-FR"/>
        </w:rPr>
      </w:pPr>
      <w:r>
        <w:rPr>
          <w:rFonts w:cstheme="minorHAnsi"/>
          <w:szCs w:val="24"/>
          <w:lang w:val="fr-FR"/>
        </w:rPr>
        <w:t xml:space="preserve">Cette autorisation est valable pour une période de cinq ans à partir de la date de la publication du présent acte. </w:t>
      </w:r>
    </w:p>
    <w:p w14:paraId="63A66598" w14:textId="77777777" w:rsidR="00EC45B1" w:rsidRDefault="00000000">
      <w:pPr>
        <w:widowControl w:val="0"/>
        <w:ind w:left="450"/>
        <w:jc w:val="both"/>
        <w:rPr>
          <w:rFonts w:cstheme="minorHAnsi"/>
          <w:szCs w:val="24"/>
          <w:lang w:val="fr-FR"/>
        </w:rPr>
      </w:pPr>
      <w:r>
        <w:rPr>
          <w:rFonts w:cstheme="minorHAnsi"/>
          <w:szCs w:val="24"/>
          <w:lang w:val="fr-FR"/>
        </w:rPr>
        <w:t>La durée de cette autorisation peut être étendue par l’assemblée générale des Associés, statuant comme en matière de modification des présents Statuts.</w:t>
      </w:r>
    </w:p>
    <w:p w14:paraId="01946625" w14:textId="77777777" w:rsidR="00EC45B1" w:rsidRDefault="00EC45B1">
      <w:pPr>
        <w:widowControl w:val="0"/>
        <w:ind w:firstLine="450"/>
        <w:jc w:val="both"/>
        <w:rPr>
          <w:rFonts w:cstheme="minorHAnsi"/>
          <w:szCs w:val="24"/>
          <w:lang w:val="fr-FR"/>
        </w:rPr>
      </w:pPr>
    </w:p>
    <w:p w14:paraId="351F3876"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5.4</w:t>
      </w:r>
      <w:r>
        <w:rPr>
          <w:lang w:val="fr-BE"/>
        </w:rPr>
        <w:tab/>
        <w:t>Le conseil de gérance est autorisé à déterminer les conditions de souscription des Parts Sociales. En cas d’émission de Parts Sociales, le conseil de gérance de la Société peut décider, à sa seule discrétion, du total des émissions.</w:t>
      </w:r>
    </w:p>
    <w:p w14:paraId="09C5E85B" w14:textId="77777777" w:rsidR="00EC45B1" w:rsidRPr="007F5ECF" w:rsidRDefault="00000000">
      <w:pPr>
        <w:widowControl w:val="0"/>
        <w:ind w:left="450"/>
        <w:jc w:val="both"/>
        <w:rPr>
          <w:rFonts w:cstheme="minorHAnsi"/>
          <w:sz w:val="22"/>
          <w:szCs w:val="28"/>
          <w:lang w:val="fr-FR"/>
        </w:rPr>
      </w:pPr>
      <w:r w:rsidRPr="007F5ECF">
        <w:rPr>
          <w:rFonts w:cstheme="minorHAnsi"/>
          <w:sz w:val="22"/>
          <w:szCs w:val="28"/>
          <w:lang w:val="fr-FR"/>
        </w:rPr>
        <w:lastRenderedPageBreak/>
        <w:t>Lorsque le conseil de gérance effectue une augmentation partielle ou totale de capital conformément aux dispositions mentionnées ci-dessus, il sera obligé de prendre les mesures nécessaires pour modifier cet article afin de constater cette modification et la gérance de la Société est autorisée à prendre ou à autoriser toutes les mesures requises pour l’exécution et la publication de telle modification conformément à la loi.</w:t>
      </w:r>
    </w:p>
    <w:p w14:paraId="086F8FBD" w14:textId="77777777" w:rsidR="00EC45B1" w:rsidRPr="007F5ECF" w:rsidRDefault="00EC45B1">
      <w:pPr>
        <w:widowControl w:val="0"/>
        <w:ind w:left="450"/>
        <w:jc w:val="both"/>
        <w:rPr>
          <w:rFonts w:cstheme="minorHAnsi"/>
          <w:sz w:val="22"/>
          <w:szCs w:val="28"/>
          <w:lang w:val="fr-FR"/>
        </w:rPr>
      </w:pPr>
    </w:p>
    <w:p w14:paraId="3AEA08FC" w14:textId="77777777" w:rsidR="00EC45B1" w:rsidRPr="007F5ECF" w:rsidRDefault="00000000">
      <w:pPr>
        <w:widowControl w:val="0"/>
        <w:ind w:left="450"/>
        <w:jc w:val="both"/>
        <w:rPr>
          <w:rFonts w:cstheme="minorHAnsi"/>
          <w:sz w:val="22"/>
          <w:szCs w:val="28"/>
          <w:lang w:val="fr-FR"/>
        </w:rPr>
      </w:pPr>
      <w:r w:rsidRPr="007F5ECF">
        <w:rPr>
          <w:rFonts w:cstheme="minorHAnsi"/>
          <w:sz w:val="22"/>
          <w:szCs w:val="28"/>
          <w:lang w:val="fr-FR"/>
        </w:rPr>
        <w:t>Le capital social de la Société pourra être réduit par le conseil de gérance par le rachat et l’annulation de toutes les parts sociales comprises dans une ou plusieurs catégories de Parts Sociales. Le rachat et l’annulation d’une catégorie de Parts Sociales (la « </w:t>
      </w:r>
      <w:r w:rsidRPr="007F5ECF">
        <w:rPr>
          <w:rFonts w:cstheme="minorHAnsi"/>
          <w:b/>
          <w:bCs/>
          <w:sz w:val="22"/>
          <w:szCs w:val="28"/>
          <w:lang w:val="fr-FR"/>
        </w:rPr>
        <w:t>Catégorie Concernée</w:t>
      </w:r>
      <w:r w:rsidRPr="007F5ECF">
        <w:rPr>
          <w:rFonts w:cstheme="minorHAnsi"/>
          <w:sz w:val="22"/>
          <w:szCs w:val="28"/>
          <w:lang w:val="fr-FR"/>
        </w:rPr>
        <w:t> ») pourra avoir lieu que si l’ensemble des Parts Sociales de la Catégorie Concernée Précédente auront été rachetées et annulées.</w:t>
      </w:r>
    </w:p>
    <w:p w14:paraId="3F677A09" w14:textId="77777777" w:rsidR="00EC45B1" w:rsidRPr="007F5ECF" w:rsidRDefault="00EC45B1">
      <w:pPr>
        <w:widowControl w:val="0"/>
        <w:ind w:left="450"/>
        <w:jc w:val="both"/>
        <w:rPr>
          <w:rFonts w:cstheme="minorHAnsi"/>
          <w:sz w:val="22"/>
          <w:szCs w:val="28"/>
          <w:lang w:val="fr-FR"/>
        </w:rPr>
      </w:pPr>
    </w:p>
    <w:p w14:paraId="7FC17C30" w14:textId="77777777" w:rsidR="00EC45B1" w:rsidRPr="007F5ECF" w:rsidRDefault="00000000">
      <w:pPr>
        <w:widowControl w:val="0"/>
        <w:ind w:left="450"/>
        <w:jc w:val="both"/>
        <w:rPr>
          <w:rFonts w:cstheme="minorHAnsi"/>
          <w:sz w:val="22"/>
          <w:szCs w:val="28"/>
          <w:lang w:val="fr-FR"/>
        </w:rPr>
      </w:pPr>
      <w:r w:rsidRPr="007F5ECF">
        <w:rPr>
          <w:rFonts w:cstheme="minorHAnsi"/>
          <w:sz w:val="22"/>
          <w:szCs w:val="28"/>
          <w:lang w:val="fr-FR"/>
        </w:rPr>
        <w:t>Dans le cas d’un rachat et annulation de la Catégorie Concernée, les détenteurs des Parts Sociales de la Catégorie Concernée recevront, pour chacune des Parts Sociales de la Catégorie Concernée qu’ils détiennent, la valeur d’annulation par part sociale (la « </w:t>
      </w:r>
      <w:r w:rsidRPr="007F5ECF">
        <w:rPr>
          <w:rFonts w:cstheme="minorHAnsi"/>
          <w:b/>
          <w:bCs/>
          <w:sz w:val="22"/>
          <w:szCs w:val="28"/>
          <w:lang w:val="fr-FR"/>
        </w:rPr>
        <w:t>Valeur d’Annulation par Part Sociale</w:t>
      </w:r>
      <w:r w:rsidRPr="007F5ECF">
        <w:rPr>
          <w:rFonts w:cstheme="minorHAnsi"/>
          <w:sz w:val="22"/>
          <w:szCs w:val="28"/>
          <w:lang w:val="fr-FR"/>
        </w:rPr>
        <w:t> ») calculée comme suit : le montant nominal total de toutes les Parts Sociales de la Catégorie Concernée plus le Montant Disponible divisé par le nombre de Parts Sociales comprises dans la Catégorie Concernée, à condition que le conseil de gérance puisse décider de limiter la Valeur d’Annulation par Part Sociale à la Liquidité Disponible par part sociale.</w:t>
      </w:r>
    </w:p>
    <w:p w14:paraId="3CC6443C" w14:textId="77777777" w:rsidR="00EC45B1" w:rsidRPr="007F5ECF" w:rsidRDefault="00EC45B1">
      <w:pPr>
        <w:widowControl w:val="0"/>
        <w:ind w:left="450"/>
        <w:jc w:val="both"/>
        <w:rPr>
          <w:rFonts w:cstheme="minorHAnsi"/>
          <w:sz w:val="22"/>
          <w:szCs w:val="28"/>
          <w:lang w:val="fr-FR"/>
        </w:rPr>
      </w:pPr>
    </w:p>
    <w:p w14:paraId="1D3482F2" w14:textId="77777777" w:rsidR="00EC45B1" w:rsidRPr="007F5ECF" w:rsidRDefault="00000000">
      <w:pPr>
        <w:widowControl w:val="0"/>
        <w:ind w:left="450"/>
        <w:jc w:val="both"/>
        <w:rPr>
          <w:rFonts w:cstheme="minorHAnsi"/>
          <w:sz w:val="22"/>
          <w:szCs w:val="28"/>
          <w:lang w:val="fr-FR"/>
        </w:rPr>
      </w:pPr>
      <w:r w:rsidRPr="007F5ECF">
        <w:rPr>
          <w:rFonts w:cstheme="minorHAnsi"/>
          <w:sz w:val="22"/>
          <w:szCs w:val="28"/>
          <w:lang w:val="fr-FR"/>
        </w:rPr>
        <w:t>Pour éviter tout doute, dans le cas d’une réduction de capital social par rachat et annulation d’une catégorie de Parts Sociales, c’est au conseil de gérance de calculer, en conformité avec les dispositions de ces Statuts, la Valeur d’Annulation par Part Sociale qui doit être payée aux détenteurs de la Catégorie Concernée.</w:t>
      </w:r>
    </w:p>
    <w:p w14:paraId="02904CE4" w14:textId="77777777" w:rsidR="00EC45B1" w:rsidRPr="007F5ECF" w:rsidRDefault="00EC45B1">
      <w:pPr>
        <w:widowControl w:val="0"/>
        <w:ind w:left="450"/>
        <w:jc w:val="both"/>
        <w:rPr>
          <w:rFonts w:cstheme="minorHAnsi"/>
          <w:sz w:val="22"/>
          <w:szCs w:val="28"/>
          <w:lang w:val="fr-FR"/>
        </w:rPr>
      </w:pPr>
    </w:p>
    <w:p w14:paraId="74E28B89" w14:textId="77777777" w:rsidR="00EC45B1" w:rsidRPr="007F5ECF" w:rsidRDefault="00000000">
      <w:pPr>
        <w:widowControl w:val="0"/>
        <w:ind w:left="450"/>
        <w:jc w:val="both"/>
        <w:rPr>
          <w:rFonts w:cstheme="minorHAnsi"/>
          <w:sz w:val="22"/>
          <w:szCs w:val="28"/>
          <w:lang w:val="fr-FR"/>
        </w:rPr>
      </w:pPr>
      <w:r w:rsidRPr="007F5ECF">
        <w:rPr>
          <w:rFonts w:cstheme="minorHAnsi"/>
          <w:sz w:val="22"/>
          <w:szCs w:val="28"/>
          <w:lang w:val="fr-FR"/>
        </w:rPr>
        <w:t>La Société doit informer par écrit chacun des détenteurs de Parts Sociales à racheter, de son intention de racheter la Catégorie Concernée. Lors du rachat et de l’annulation de la Catégorie Concernée, la Valeur d’Annulation par Part Sociale sera due par la Société.</w:t>
      </w:r>
    </w:p>
    <w:p w14:paraId="320FF644" w14:textId="77777777" w:rsidR="00EC45B1" w:rsidRPr="007F5ECF" w:rsidRDefault="00EC45B1">
      <w:pPr>
        <w:widowControl w:val="0"/>
        <w:ind w:left="450"/>
        <w:jc w:val="both"/>
        <w:rPr>
          <w:rFonts w:cstheme="minorHAnsi"/>
          <w:sz w:val="22"/>
          <w:szCs w:val="28"/>
          <w:lang w:val="fr-FR"/>
        </w:rPr>
      </w:pPr>
    </w:p>
    <w:p w14:paraId="2967640C" w14:textId="77777777" w:rsidR="00EC45B1" w:rsidRPr="007F5ECF" w:rsidRDefault="00000000">
      <w:pPr>
        <w:widowControl w:val="0"/>
        <w:ind w:left="450"/>
        <w:jc w:val="both"/>
        <w:rPr>
          <w:rFonts w:cstheme="minorHAnsi"/>
          <w:sz w:val="22"/>
          <w:szCs w:val="28"/>
          <w:lang w:val="fr-FR"/>
        </w:rPr>
      </w:pPr>
      <w:r w:rsidRPr="007F5ECF">
        <w:rPr>
          <w:rFonts w:cstheme="minorHAnsi"/>
          <w:sz w:val="22"/>
          <w:szCs w:val="28"/>
          <w:lang w:val="fr-FR"/>
        </w:rPr>
        <w:t>Le paiement de la Valeur d’Annulation par Part Sociale devra être fait en espèce et/ou en nature par le conseil de gérance, en conformité avec les dispositions légales luxembourgeoises.</w:t>
      </w:r>
    </w:p>
    <w:p w14:paraId="7E75F5ED" w14:textId="77777777" w:rsidR="00EC45B1" w:rsidRPr="007F5ECF" w:rsidRDefault="00EC45B1">
      <w:pPr>
        <w:widowControl w:val="0"/>
        <w:ind w:left="450"/>
        <w:jc w:val="both"/>
        <w:rPr>
          <w:rFonts w:cstheme="minorHAnsi"/>
          <w:sz w:val="22"/>
          <w:szCs w:val="28"/>
          <w:lang w:val="fr-FR"/>
        </w:rPr>
      </w:pPr>
    </w:p>
    <w:p w14:paraId="0E686F93" w14:textId="77777777" w:rsidR="00EC45B1" w:rsidRPr="007F5ECF" w:rsidRDefault="00000000">
      <w:pPr>
        <w:widowControl w:val="0"/>
        <w:ind w:left="450"/>
        <w:jc w:val="both"/>
        <w:rPr>
          <w:rFonts w:cstheme="minorHAnsi"/>
          <w:sz w:val="22"/>
          <w:szCs w:val="28"/>
          <w:lang w:val="fr-FR"/>
        </w:rPr>
      </w:pPr>
      <w:r w:rsidRPr="007F5ECF">
        <w:rPr>
          <w:rFonts w:cstheme="minorHAnsi"/>
          <w:sz w:val="22"/>
          <w:szCs w:val="28"/>
          <w:lang w:val="fr-FR"/>
        </w:rPr>
        <w:t>Si le conseil de gérance effectue un rachat total ou partiel et une annulation de toutes les parts sociales de l’une ou plusieurs classes de parts sociales selon les provisions ci-dessus, il sera obligé d’effectuer toutes les démarches lui permettant de modifier le présent article pour enregistrer la modification et la gérance de la Société et est autorisée à prendre ou à autoriser les mesures requises pour l’exécution et la publication de tels changements tout en respectant la loi.</w:t>
      </w:r>
      <w:r w:rsidRPr="007F5ECF">
        <w:rPr>
          <w:rFonts w:cstheme="minorHAnsi"/>
          <w:sz w:val="22"/>
          <w:szCs w:val="28"/>
          <w:highlight w:val="cyan"/>
          <w:lang w:val="fr-FR"/>
        </w:rPr>
        <w:t>]</w:t>
      </w:r>
    </w:p>
    <w:p w14:paraId="578D1239" w14:textId="77777777" w:rsidR="00EC45B1" w:rsidRDefault="00000000">
      <w:pPr>
        <w:pStyle w:val="AoALevel2Article1"/>
        <w:keepNext w:val="0"/>
        <w:widowControl w:val="0"/>
        <w:numPr>
          <w:ilvl w:val="0"/>
          <w:numId w:val="0"/>
        </w:numPr>
        <w:tabs>
          <w:tab w:val="clear" w:pos="1418"/>
          <w:tab w:val="left" w:pos="851"/>
        </w:tabs>
        <w:spacing w:before="120" w:after="0"/>
        <w:contextualSpacing/>
        <w:rPr>
          <w:lang w:val="fr-LU"/>
        </w:rPr>
      </w:pPr>
      <w:r>
        <w:rPr>
          <w:lang w:val="fr-LU"/>
        </w:rPr>
        <w:t>Article 6</w:t>
      </w:r>
      <w:r>
        <w:rPr>
          <w:lang w:val="fr-LU"/>
        </w:rPr>
        <w:tab/>
      </w:r>
      <w:r>
        <w:rPr>
          <w:lang w:val="fr-LU"/>
        </w:rPr>
        <w:tab/>
        <w:t>Parts sociales</w:t>
      </w:r>
    </w:p>
    <w:p w14:paraId="5A00FAE8"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6.1</w:t>
      </w:r>
      <w:r>
        <w:rPr>
          <w:lang w:val="fr-BE"/>
        </w:rPr>
        <w:tab/>
        <w:t>Le capital social de la Société est divisé en parts sociales ayant chacune la même valeur nominale.</w:t>
      </w:r>
    </w:p>
    <w:p w14:paraId="72A68D31"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6.2</w:t>
      </w:r>
      <w:r>
        <w:rPr>
          <w:lang w:val="fr-BE"/>
        </w:rPr>
        <w:tab/>
        <w:t>Les parts sociales de la Société sont uniquement nominatives.</w:t>
      </w:r>
    </w:p>
    <w:p w14:paraId="7A8374C0"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6.3</w:t>
      </w:r>
      <w:r>
        <w:rPr>
          <w:lang w:val="fr-BE"/>
        </w:rPr>
        <w:tab/>
        <w:t>La Société peut avoir un ou plusieurs associés sans excéder la limite de cent (100) associés. Au cas où le nombre des associés viendrait à dépasser la limite de cent (100) pour quelque raison que ce soit, la Société devra dans un délai d’un (1) an à compter de la date du dépassement de la limite, être transformée en une société revêtant une autre forme sociale.</w:t>
      </w:r>
    </w:p>
    <w:p w14:paraId="2022F5F1"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6.4</w:t>
      </w:r>
      <w:r>
        <w:rPr>
          <w:lang w:val="fr-BE"/>
        </w:rPr>
        <w:tab/>
        <w:t>Le décès, la suspension des droits civils, la dissolution, la liquidation, la faillite ou l’insolvabilité ou tout autre événement similaire d’un des associés n’entraînera pas la dissolution de la Société.</w:t>
      </w:r>
    </w:p>
    <w:p w14:paraId="7841F2B1" w14:textId="77777777" w:rsidR="00EC45B1" w:rsidRDefault="00000000">
      <w:pPr>
        <w:pStyle w:val="AoALevel2Article1"/>
        <w:keepNext w:val="0"/>
        <w:widowControl w:val="0"/>
        <w:numPr>
          <w:ilvl w:val="0"/>
          <w:numId w:val="0"/>
        </w:numPr>
        <w:tabs>
          <w:tab w:val="clear" w:pos="1418"/>
          <w:tab w:val="left" w:pos="851"/>
        </w:tabs>
        <w:spacing w:before="120" w:after="0"/>
        <w:contextualSpacing/>
        <w:rPr>
          <w:lang w:val="fr-LU"/>
        </w:rPr>
      </w:pPr>
      <w:r>
        <w:rPr>
          <w:lang w:val="fr-LU"/>
        </w:rPr>
        <w:t>Article 7</w:t>
      </w:r>
      <w:r>
        <w:rPr>
          <w:lang w:val="fr-LU"/>
        </w:rPr>
        <w:tab/>
      </w:r>
      <w:r>
        <w:rPr>
          <w:lang w:val="fr-LU"/>
        </w:rPr>
        <w:tab/>
        <w:t>Registre des parts sociales - Transfert des parts sociales</w:t>
      </w:r>
    </w:p>
    <w:p w14:paraId="15086FD5"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7.1</w:t>
      </w:r>
      <w:r>
        <w:rPr>
          <w:lang w:val="fr-BE"/>
        </w:rPr>
        <w:tab/>
        <w:t xml:space="preserve">Un registre des parts sociales est tenu au siège social de la Société où il est mis à disposition de chaque associé pour consultation. Ce registre contient toutes les informations requises par la Loi. Des certificats attestant des inscriptions faites dans le registre concernant un associé peuvent être émis sur demande et aux frais de cet associé. </w:t>
      </w:r>
    </w:p>
    <w:p w14:paraId="7FB6F7D8"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7.2</w:t>
      </w:r>
      <w:r>
        <w:rPr>
          <w:lang w:val="fr-BE"/>
        </w:rPr>
        <w:tab/>
        <w:t xml:space="preserve">La Société ne reconnaît qu'un seul titulaire par part sociale. Les copropriétaires indivis nommeront un représentant unique qui les représentera vis-à-vis de la Société. La Société a le droit de suspendre </w:t>
      </w:r>
      <w:r>
        <w:rPr>
          <w:lang w:val="fr-BE"/>
        </w:rPr>
        <w:lastRenderedPageBreak/>
        <w:t>l'exercice de tous les droits relatifs à cette part sociale, à l’exception du droit à l’information, jusqu'à ce qu'un tel représentant ait été désigné.</w:t>
      </w:r>
    </w:p>
    <w:p w14:paraId="294F25E3"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7.3</w:t>
      </w:r>
      <w:r>
        <w:rPr>
          <w:lang w:val="fr-BE"/>
        </w:rPr>
        <w:tab/>
        <w:t>Les parts sociales sont librement cessibles entre associés.</w:t>
      </w:r>
    </w:p>
    <w:p w14:paraId="5C6D3839"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7.4</w:t>
      </w:r>
      <w:r>
        <w:rPr>
          <w:lang w:val="fr-BE"/>
        </w:rPr>
        <w:tab/>
      </w:r>
      <w:r>
        <w:rPr>
          <w:i/>
          <w:lang w:val="fr-BE"/>
        </w:rPr>
        <w:t xml:space="preserve">Inter </w:t>
      </w:r>
      <w:proofErr w:type="spellStart"/>
      <w:r>
        <w:rPr>
          <w:i/>
          <w:lang w:val="fr-BE"/>
        </w:rPr>
        <w:t>vivos</w:t>
      </w:r>
      <w:proofErr w:type="spellEnd"/>
      <w:r>
        <w:rPr>
          <w:lang w:val="fr-BE"/>
        </w:rPr>
        <w:t xml:space="preserve">, les parts sociales ne sont cessibles à des tiers que sous réserve qu’une telle cession ait été approuvée préalablement par des associés représentant au moins la moitié des parts sociales émises. </w:t>
      </w:r>
      <w:r>
        <w:rPr>
          <w:rStyle w:val="FootnoteReference"/>
          <w:lang w:val="fr-BE"/>
        </w:rPr>
        <w:footnoteReference w:id="15"/>
      </w:r>
    </w:p>
    <w:p w14:paraId="6512DCD7"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7.5</w:t>
      </w:r>
      <w:r>
        <w:rPr>
          <w:lang w:val="fr-BE"/>
        </w:rPr>
        <w:tab/>
        <w:t>Lorsqu’un associé envisage de céder une ou plusieurs parts sociales à un tiers, l’associé cédant doit envoyer une notification à la Société contenant les éléments de la cession envisagée, y compris l’identité du cessionnaire, le prix de cession, et, le cas échéant, les conditions applicables à la cession.</w:t>
      </w:r>
    </w:p>
    <w:p w14:paraId="1FAF00CB"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7.6</w:t>
      </w:r>
      <w:r>
        <w:rPr>
          <w:lang w:val="fr-BE"/>
        </w:rPr>
        <w:tab/>
        <w:t xml:space="preserve">Si la cession envisagée n’est pas approuvée par les associés de la Société conformément à l’article </w:t>
      </w:r>
      <w:r>
        <w:rPr>
          <w:shd w:val="clear" w:color="auto" w:fill="FFFF00"/>
          <w:lang w:val="fr-BE"/>
        </w:rPr>
        <w:t>7.4</w:t>
      </w:r>
      <w:r>
        <w:rPr>
          <w:rStyle w:val="FootnoteReference"/>
          <w:lang w:val="fr-BE"/>
        </w:rPr>
        <w:footnoteReference w:id="16"/>
      </w:r>
      <w:r>
        <w:rPr>
          <w:lang w:val="fr-BE"/>
        </w:rPr>
        <w:t xml:space="preserve">, les associés peuvent, dans un délai de trois (3) mois à compter de la date du refus, acquérir les parts sociales en respectant le principe de l’égalité de traitement (sauf s’ils en ont convenu autrement) ou faire acquérir les parts sociales à un prix déterminé conformément à l’article </w:t>
      </w:r>
      <w:r>
        <w:rPr>
          <w:shd w:val="clear" w:color="auto" w:fill="FFFF00"/>
          <w:lang w:val="fr-BE"/>
        </w:rPr>
        <w:t>7.8</w:t>
      </w:r>
      <w:r>
        <w:rPr>
          <w:lang w:val="fr-BE"/>
        </w:rPr>
        <w:t>, sauf si l’associé cédant décide de renoncer au transfert. Sur requête des gérants, la période de trois (3) mois peut être prolongée par le magistrat présidant la chambre du tribunal d’arrondissement siégeant en matière commerciale et comme en matière de référé, sans que cette prolongation ne puisse excéder six (6) mois.</w:t>
      </w:r>
    </w:p>
    <w:p w14:paraId="17BE39AD"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7.7</w:t>
      </w:r>
      <w:r>
        <w:rPr>
          <w:lang w:val="fr-BE"/>
        </w:rPr>
        <w:tab/>
        <w:t xml:space="preserve">Dans la mesure où les associés n’ont pas proposé d’acquérir les parts sociales, la Société peut, dans le même délai et avec le consentement de l’associé cédant, et dans les limites de la Loi, décider de (i) réduire son capital social du montant correspondant à la valeur nominale desdites parts sociales et (ii) racheter et annuler ces parts à un prix déterminé conformément à l’article </w:t>
      </w:r>
      <w:r>
        <w:rPr>
          <w:shd w:val="clear" w:color="auto" w:fill="FFFF00"/>
          <w:lang w:val="fr-BE"/>
        </w:rPr>
        <w:t>7.8</w:t>
      </w:r>
      <w:r>
        <w:rPr>
          <w:lang w:val="fr-BE"/>
        </w:rPr>
        <w:t>.</w:t>
      </w:r>
    </w:p>
    <w:p w14:paraId="77B751B9"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7.8</w:t>
      </w:r>
      <w:r>
        <w:rPr>
          <w:lang w:val="fr-BE"/>
        </w:rPr>
        <w:tab/>
        <w:t xml:space="preserve">Aux fins des articles </w:t>
      </w:r>
      <w:r>
        <w:rPr>
          <w:shd w:val="clear" w:color="auto" w:fill="FFFF00"/>
          <w:lang w:val="fr-BE"/>
        </w:rPr>
        <w:t>7.6</w:t>
      </w:r>
      <w:r>
        <w:rPr>
          <w:lang w:val="fr-BE"/>
        </w:rPr>
        <w:t xml:space="preserve"> et </w:t>
      </w:r>
      <w:r>
        <w:rPr>
          <w:shd w:val="clear" w:color="auto" w:fill="FFFF00"/>
          <w:lang w:val="fr-BE"/>
        </w:rPr>
        <w:t>7.7</w:t>
      </w:r>
      <w:r>
        <w:rPr>
          <w:lang w:val="fr-BE"/>
        </w:rPr>
        <w:t xml:space="preserve">, le prix de transfert ou le prix de rachat correspondra à la juste valeur de marché des parts sociales déterminée de bonne foi par le conseil de gérance. </w:t>
      </w:r>
    </w:p>
    <w:p w14:paraId="4EC72908"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7.9</w:t>
      </w:r>
      <w:r>
        <w:rPr>
          <w:lang w:val="fr-BE"/>
        </w:rPr>
        <w:tab/>
        <w:t>Si, à l’expiration du délai imparti, ni les associés existants, ni la Société n’ont acquis ou racheté les parts sociales, l’associé cédant peut librement céder ses parts sociales au(x) nouvel (nouveaux) associé(s) proposé(s) au prix de cession et aux conditions notifiées à la Société.</w:t>
      </w:r>
    </w:p>
    <w:p w14:paraId="497DF771"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7.10</w:t>
      </w:r>
      <w:r>
        <w:rPr>
          <w:lang w:val="fr-BE"/>
        </w:rPr>
        <w:tab/>
        <w:t xml:space="preserve">Toute cession de parts sociales est opposable à la Société et aux tiers sur notification de la cession à la Société, ou après l’acceptation de la cession par la Société conformément à l’article 1690 du Code civil. </w:t>
      </w:r>
    </w:p>
    <w:p w14:paraId="008A743C"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7.11</w:t>
      </w:r>
      <w:r>
        <w:rPr>
          <w:lang w:val="fr-BE"/>
        </w:rPr>
        <w:tab/>
        <w:t>En cas de décès, les parts sociales de l’associé décédé pourront être uniquement transférées au nouvel associé sous réserve qu’un tel transfert ait été approuvé par les associés restants représentant au moins la moitié des parts sociales appartenant aux associés restants. Une telle approbation n’est cependant pas requise dans l’hypothèse où les parts sociales sont transférées soit aux ascendants, descendants ou au conjoint survivant</w:t>
      </w:r>
      <w:r>
        <w:rPr>
          <w:b/>
          <w:lang w:val="fr-BE"/>
        </w:rPr>
        <w:t xml:space="preserve"> </w:t>
      </w:r>
      <w:r>
        <w:rPr>
          <w:lang w:val="fr-BE"/>
        </w:rPr>
        <w:t>ou à tout autre héritier légal de l’associé décédé.</w:t>
      </w:r>
      <w:r>
        <w:rPr>
          <w:rStyle w:val="FootnoteReference"/>
          <w:lang w:val="fr-BE"/>
        </w:rPr>
        <w:footnoteReference w:id="17"/>
      </w:r>
    </w:p>
    <w:p w14:paraId="5A99CE87" w14:textId="77777777" w:rsidR="00EC45B1" w:rsidRDefault="00EC45B1">
      <w:pPr>
        <w:widowControl w:val="0"/>
        <w:ind w:left="450"/>
        <w:jc w:val="both"/>
        <w:rPr>
          <w:rFonts w:cstheme="minorHAnsi"/>
          <w:szCs w:val="24"/>
          <w:lang w:val="fr-FR"/>
        </w:rPr>
      </w:pPr>
    </w:p>
    <w:p w14:paraId="5994FBBE" w14:textId="77777777" w:rsidR="00EC45B1" w:rsidRDefault="00000000">
      <w:pPr>
        <w:widowControl w:val="0"/>
        <w:tabs>
          <w:tab w:val="left" w:pos="1134"/>
        </w:tabs>
        <w:contextualSpacing/>
        <w:jc w:val="both"/>
        <w:rPr>
          <w:rFonts w:cstheme="minorHAnsi"/>
          <w:i/>
          <w:iCs/>
          <w:highlight w:val="cyan"/>
          <w:lang w:val="fr-FR"/>
        </w:rPr>
      </w:pPr>
      <w:r>
        <w:rPr>
          <w:rFonts w:cstheme="minorHAnsi"/>
          <w:i/>
          <w:iCs/>
          <w:highlight w:val="cyan"/>
          <w:lang w:val="fr-FR"/>
        </w:rPr>
        <w:t>Exemple de clause de droits de préemption</w:t>
      </w:r>
      <w:r>
        <w:rPr>
          <w:rStyle w:val="FootnoteReference"/>
          <w:rFonts w:cstheme="minorHAnsi"/>
          <w:i/>
          <w:iCs/>
          <w:highlight w:val="cyan"/>
          <w:lang w:val="fr-FR"/>
        </w:rPr>
        <w:footnoteReference w:id="18"/>
      </w:r>
      <w:r>
        <w:rPr>
          <w:rFonts w:cstheme="minorHAnsi"/>
          <w:i/>
          <w:iCs/>
          <w:highlight w:val="cyan"/>
          <w:lang w:val="fr-FR"/>
        </w:rPr>
        <w:t> :</w:t>
      </w:r>
    </w:p>
    <w:p w14:paraId="438A8024"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7.12</w:t>
      </w:r>
      <w:r>
        <w:rPr>
          <w:lang w:val="fr-BE"/>
        </w:rPr>
        <w:tab/>
      </w:r>
      <w:r>
        <w:rPr>
          <w:highlight w:val="cyan"/>
          <w:lang w:val="fr-BE"/>
        </w:rPr>
        <w:t>[</w:t>
      </w:r>
      <w:r>
        <w:rPr>
          <w:lang w:val="fr-BE"/>
        </w:rPr>
        <w:t xml:space="preserve">Tout associé ayant l'intention de céder ou de disposer de toute autre manière des Parts Sociales de la Société (un Associé Cédant) (y compris, à titre de précision, toute cession conformément aux dispositions de l’article </w:t>
      </w:r>
      <w:r>
        <w:rPr>
          <w:shd w:val="clear" w:color="auto" w:fill="FFFF00"/>
          <w:lang w:val="fr-BE"/>
        </w:rPr>
        <w:t>7</w:t>
      </w:r>
      <w:r>
        <w:rPr>
          <w:lang w:val="fr-BE"/>
        </w:rPr>
        <w:t xml:space="preserve">), donnera aux autres associés (les Associés Cessionnaires) une notification écrite (la Notification de l'Offre) indiquant qu'il souhaite céder ses Parts Sociales et précisant le nombre de Parts </w:t>
      </w:r>
      <w:r>
        <w:rPr>
          <w:lang w:val="fr-BE"/>
        </w:rPr>
        <w:lastRenderedPageBreak/>
        <w:t>Sociales (les Parts Sociales Offertes) qu'il propose de transférer selon une offre faite de bonne foi, le prix proposé par Part Sociale, la date de cession proposée, les autres termes et conditions du transfert et du paiement du prix (y compris, dans le cas d'un prix d'achat différé, les garanties demandées par l'Associé Cédant), ainsi que l'identité du cessionnaire proposé (le Tiers Cessionnaire), et comprenant une copie, le cas échéant, de la demande écrite du Tiers Cessionnaire. L'Associé Cédant indiquera dans la Notification de l'Offre toutes les informations supplémentaires raisonnablement nécessaires afin d'évaluer la cession proposée de manière adéquate.</w:t>
      </w:r>
    </w:p>
    <w:p w14:paraId="3362AFEF" w14:textId="77777777" w:rsidR="00EC45B1" w:rsidRDefault="00EC45B1">
      <w:pPr>
        <w:widowControl w:val="0"/>
        <w:ind w:left="450"/>
        <w:jc w:val="both"/>
        <w:rPr>
          <w:rFonts w:cstheme="minorHAnsi"/>
          <w:szCs w:val="24"/>
          <w:lang w:val="fr-FR"/>
        </w:rPr>
      </w:pPr>
    </w:p>
    <w:p w14:paraId="6C0428E8" w14:textId="77777777" w:rsidR="00EC45B1" w:rsidRDefault="00000000">
      <w:pPr>
        <w:widowControl w:val="0"/>
        <w:ind w:left="450"/>
        <w:jc w:val="both"/>
        <w:rPr>
          <w:rFonts w:cstheme="minorHAnsi"/>
          <w:szCs w:val="24"/>
          <w:lang w:val="fr-FR"/>
        </w:rPr>
      </w:pPr>
      <w:r>
        <w:rPr>
          <w:rFonts w:cstheme="minorHAnsi"/>
          <w:szCs w:val="24"/>
          <w:lang w:val="fr-FR"/>
        </w:rPr>
        <w:t>Dès réception de la Notification de l'Offre, chacun des Associés Cessionnaires aura le droit d'acheter, au prorata de leur participation au capital social émis de la Société (leur Droits au Prorata), les Parts Sociales Offertes au prix indiqué dans la Notification de l'Offre en adressant à l'Associé Cédant, dans les quinze (15) jours ouvrables de la réception de la Notification de l'Offre, une notification précisant :</w:t>
      </w:r>
    </w:p>
    <w:p w14:paraId="76A23840" w14:textId="77777777" w:rsidR="00EC45B1" w:rsidRDefault="00000000">
      <w:pPr>
        <w:pStyle w:val="ListParagraph"/>
        <w:widowControl w:val="0"/>
        <w:numPr>
          <w:ilvl w:val="0"/>
          <w:numId w:val="13"/>
        </w:numPr>
        <w:tabs>
          <w:tab w:val="left" w:pos="4779"/>
        </w:tabs>
        <w:ind w:left="810" w:right="65" w:hanging="360"/>
        <w:contextualSpacing w:val="0"/>
        <w:jc w:val="both"/>
        <w:rPr>
          <w:rFonts w:cstheme="minorHAnsi"/>
          <w:lang w:val="fr-FR"/>
        </w:rPr>
      </w:pPr>
      <w:proofErr w:type="gramStart"/>
      <w:r>
        <w:rPr>
          <w:rFonts w:cstheme="minorHAnsi"/>
          <w:lang w:val="fr-FR"/>
        </w:rPr>
        <w:t>le</w:t>
      </w:r>
      <w:proofErr w:type="gramEnd"/>
      <w:r>
        <w:rPr>
          <w:rFonts w:cstheme="minorHAnsi"/>
          <w:lang w:val="fr-FR"/>
        </w:rPr>
        <w:t xml:space="preserve"> nombre de Parts Sociales qu'il souhaite acheter et le nombre de Parts Sociales qu'il souhaite acheter dans le cas où les autres Associés</w:t>
      </w:r>
      <w:r>
        <w:rPr>
          <w:rFonts w:cstheme="minorHAnsi"/>
          <w:spacing w:val="7"/>
          <w:lang w:val="fr-FR"/>
        </w:rPr>
        <w:t xml:space="preserve"> </w:t>
      </w:r>
      <w:r>
        <w:rPr>
          <w:rFonts w:cstheme="minorHAnsi"/>
          <w:lang w:val="fr-FR"/>
        </w:rPr>
        <w:t>Cessionnaires</w:t>
      </w:r>
      <w:r>
        <w:rPr>
          <w:rFonts w:cstheme="minorHAnsi"/>
          <w:spacing w:val="8"/>
          <w:lang w:val="fr-FR"/>
        </w:rPr>
        <w:t xml:space="preserve"> </w:t>
      </w:r>
      <w:r>
        <w:rPr>
          <w:rFonts w:cstheme="minorHAnsi"/>
          <w:lang w:val="fr-FR"/>
        </w:rPr>
        <w:t>exercent</w:t>
      </w:r>
      <w:r>
        <w:rPr>
          <w:rFonts w:cstheme="minorHAnsi"/>
          <w:spacing w:val="7"/>
          <w:lang w:val="fr-FR"/>
        </w:rPr>
        <w:t xml:space="preserve"> </w:t>
      </w:r>
      <w:r>
        <w:rPr>
          <w:rFonts w:cstheme="minorHAnsi"/>
          <w:lang w:val="fr-FR"/>
        </w:rPr>
        <w:t>leur</w:t>
      </w:r>
      <w:r>
        <w:rPr>
          <w:rFonts w:cstheme="minorHAnsi"/>
          <w:spacing w:val="8"/>
          <w:lang w:val="fr-FR"/>
        </w:rPr>
        <w:t xml:space="preserve"> </w:t>
      </w:r>
      <w:r>
        <w:rPr>
          <w:rFonts w:cstheme="minorHAnsi"/>
          <w:lang w:val="fr-FR"/>
        </w:rPr>
        <w:t>droit</w:t>
      </w:r>
      <w:r>
        <w:rPr>
          <w:rFonts w:cstheme="minorHAnsi"/>
          <w:spacing w:val="7"/>
          <w:lang w:val="fr-FR"/>
        </w:rPr>
        <w:t xml:space="preserve"> </w:t>
      </w:r>
      <w:r>
        <w:rPr>
          <w:rFonts w:cstheme="minorHAnsi"/>
          <w:lang w:val="fr-FR"/>
        </w:rPr>
        <w:t>de</w:t>
      </w:r>
      <w:r>
        <w:rPr>
          <w:rFonts w:cstheme="minorHAnsi"/>
          <w:spacing w:val="6"/>
          <w:lang w:val="fr-FR"/>
        </w:rPr>
        <w:t xml:space="preserve"> </w:t>
      </w:r>
      <w:r>
        <w:rPr>
          <w:rFonts w:cstheme="minorHAnsi"/>
          <w:lang w:val="fr-FR"/>
        </w:rPr>
        <w:t>préemption</w:t>
      </w:r>
      <w:r>
        <w:rPr>
          <w:rFonts w:cstheme="minorHAnsi"/>
          <w:spacing w:val="6"/>
          <w:lang w:val="fr-FR"/>
        </w:rPr>
        <w:t xml:space="preserve"> </w:t>
      </w:r>
      <w:r>
        <w:rPr>
          <w:rFonts w:cstheme="minorHAnsi"/>
          <w:lang w:val="fr-FR"/>
        </w:rPr>
        <w:t>pour</w:t>
      </w:r>
      <w:r>
        <w:rPr>
          <w:rFonts w:cstheme="minorHAnsi"/>
          <w:spacing w:val="8"/>
          <w:lang w:val="fr-FR"/>
        </w:rPr>
        <w:t xml:space="preserve"> </w:t>
      </w:r>
      <w:r>
        <w:rPr>
          <w:rFonts w:cstheme="minorHAnsi"/>
          <w:spacing w:val="-5"/>
          <w:lang w:val="fr-FR"/>
        </w:rPr>
        <w:t xml:space="preserve">un </w:t>
      </w:r>
      <w:r>
        <w:rPr>
          <w:rFonts w:cstheme="minorHAnsi"/>
          <w:lang w:val="fr-FR"/>
        </w:rPr>
        <w:t xml:space="preserve">nombre de Parts Sociales Offertes inférieur à leurs Droits au </w:t>
      </w:r>
      <w:proofErr w:type="gramStart"/>
      <w:r>
        <w:rPr>
          <w:rFonts w:cstheme="minorHAnsi"/>
          <w:lang w:val="fr-FR"/>
        </w:rPr>
        <w:t>Prorata;</w:t>
      </w:r>
      <w:proofErr w:type="gramEnd"/>
      <w:r>
        <w:rPr>
          <w:rFonts w:cstheme="minorHAnsi"/>
          <w:lang w:val="fr-FR"/>
        </w:rPr>
        <w:t xml:space="preserve"> et</w:t>
      </w:r>
    </w:p>
    <w:p w14:paraId="4854E5B6" w14:textId="77777777" w:rsidR="00EC45B1" w:rsidRDefault="00000000">
      <w:pPr>
        <w:pStyle w:val="ListParagraph"/>
        <w:widowControl w:val="0"/>
        <w:numPr>
          <w:ilvl w:val="0"/>
          <w:numId w:val="13"/>
        </w:numPr>
        <w:tabs>
          <w:tab w:val="left" w:pos="4779"/>
        </w:tabs>
        <w:ind w:left="810" w:right="65" w:hanging="360"/>
        <w:contextualSpacing w:val="0"/>
        <w:jc w:val="both"/>
        <w:rPr>
          <w:rFonts w:cstheme="minorHAnsi"/>
          <w:lang w:val="fr-FR"/>
        </w:rPr>
      </w:pPr>
      <w:r>
        <w:rPr>
          <w:rFonts w:cstheme="minorHAnsi"/>
          <w:lang w:val="fr-FR"/>
        </w:rPr>
        <w:t>(</w:t>
      </w:r>
      <w:proofErr w:type="gramStart"/>
      <w:r>
        <w:rPr>
          <w:rFonts w:cstheme="minorHAnsi"/>
          <w:lang w:val="fr-FR"/>
        </w:rPr>
        <w:t>son</w:t>
      </w:r>
      <w:proofErr w:type="gramEnd"/>
      <w:r>
        <w:rPr>
          <w:rFonts w:cstheme="minorHAnsi"/>
          <w:lang w:val="fr-FR"/>
        </w:rPr>
        <w:t xml:space="preserve"> acceptation des termes et conditions prévues dans la Notification de l'Offre (une </w:t>
      </w:r>
      <w:r>
        <w:rPr>
          <w:rFonts w:cstheme="minorHAnsi"/>
          <w:b/>
          <w:lang w:val="fr-FR"/>
        </w:rPr>
        <w:t>Notification de Premier Refus).</w:t>
      </w:r>
    </w:p>
    <w:p w14:paraId="7BFD57B2" w14:textId="77777777" w:rsidR="00EC45B1" w:rsidRDefault="00EC45B1">
      <w:pPr>
        <w:widowControl w:val="0"/>
        <w:ind w:left="450"/>
        <w:jc w:val="both"/>
        <w:rPr>
          <w:rFonts w:cstheme="minorHAnsi"/>
          <w:szCs w:val="24"/>
          <w:lang w:val="fr-FR"/>
        </w:rPr>
      </w:pPr>
    </w:p>
    <w:p w14:paraId="411A4D09" w14:textId="77777777" w:rsidR="00EC45B1" w:rsidRPr="007F5ECF" w:rsidRDefault="00000000">
      <w:pPr>
        <w:widowControl w:val="0"/>
        <w:ind w:left="450"/>
        <w:jc w:val="both"/>
        <w:rPr>
          <w:rFonts w:cstheme="minorHAnsi"/>
          <w:sz w:val="22"/>
          <w:szCs w:val="22"/>
          <w:lang w:val="fr-FR"/>
        </w:rPr>
      </w:pPr>
      <w:r w:rsidRPr="007F5ECF">
        <w:rPr>
          <w:rFonts w:cstheme="minorHAnsi"/>
          <w:sz w:val="22"/>
          <w:szCs w:val="22"/>
          <w:lang w:val="fr-FR"/>
        </w:rPr>
        <w:t>L'Associé Cédant cédera les Parts Sociales Offertes aux Associés Cessionnaires au quinzième (15e) jour ouvrable suivant la signification de la Notification de Premier Refus ou au quinzième (15e) jour ouvrable suivant la date à laquelle tous les agréments réglementaires éventuellement nécessaires auront été obtenus (la Date de Cession).</w:t>
      </w:r>
    </w:p>
    <w:p w14:paraId="290A3866" w14:textId="77777777" w:rsidR="00EC45B1" w:rsidRPr="007F5ECF" w:rsidRDefault="00EC45B1">
      <w:pPr>
        <w:widowControl w:val="0"/>
        <w:ind w:left="450"/>
        <w:jc w:val="both"/>
        <w:rPr>
          <w:rFonts w:cstheme="minorHAnsi"/>
          <w:sz w:val="22"/>
          <w:szCs w:val="22"/>
          <w:lang w:val="fr-FR"/>
        </w:rPr>
      </w:pPr>
    </w:p>
    <w:p w14:paraId="08226AA3" w14:textId="77777777" w:rsidR="00EC45B1" w:rsidRPr="007F5ECF" w:rsidRDefault="00000000">
      <w:pPr>
        <w:widowControl w:val="0"/>
        <w:ind w:left="450"/>
        <w:jc w:val="both"/>
        <w:rPr>
          <w:rFonts w:cstheme="minorHAnsi"/>
          <w:sz w:val="22"/>
          <w:szCs w:val="22"/>
          <w:lang w:val="fr-FR"/>
        </w:rPr>
      </w:pPr>
      <w:r w:rsidRPr="007F5ECF">
        <w:rPr>
          <w:rFonts w:cstheme="minorHAnsi"/>
          <w:sz w:val="22"/>
          <w:szCs w:val="22"/>
          <w:lang w:val="fr-FR"/>
        </w:rPr>
        <w:t xml:space="preserve">A la Date de </w:t>
      </w:r>
      <w:proofErr w:type="gramStart"/>
      <w:r w:rsidRPr="007F5ECF">
        <w:rPr>
          <w:rFonts w:cstheme="minorHAnsi"/>
          <w:sz w:val="22"/>
          <w:szCs w:val="22"/>
          <w:lang w:val="fr-FR"/>
        </w:rPr>
        <w:t>Cession:</w:t>
      </w:r>
      <w:proofErr w:type="gramEnd"/>
    </w:p>
    <w:p w14:paraId="2B61B0EE" w14:textId="77777777" w:rsidR="00EC45B1" w:rsidRPr="007F5ECF" w:rsidRDefault="00000000">
      <w:pPr>
        <w:pStyle w:val="ListParagraph"/>
        <w:widowControl w:val="0"/>
        <w:numPr>
          <w:ilvl w:val="0"/>
          <w:numId w:val="14"/>
        </w:numPr>
        <w:tabs>
          <w:tab w:val="left" w:pos="4779"/>
        </w:tabs>
        <w:ind w:left="810" w:right="65" w:hanging="360"/>
        <w:contextualSpacing w:val="0"/>
        <w:jc w:val="both"/>
        <w:rPr>
          <w:rFonts w:cstheme="minorHAnsi"/>
          <w:sz w:val="22"/>
          <w:szCs w:val="22"/>
          <w:lang w:val="fr-FR"/>
        </w:rPr>
      </w:pPr>
      <w:proofErr w:type="gramStart"/>
      <w:r w:rsidRPr="007F5ECF">
        <w:rPr>
          <w:rFonts w:cstheme="minorHAnsi"/>
          <w:sz w:val="22"/>
          <w:szCs w:val="22"/>
          <w:lang w:val="fr-FR"/>
        </w:rPr>
        <w:t>l'Associé</w:t>
      </w:r>
      <w:proofErr w:type="gramEnd"/>
      <w:r w:rsidRPr="007F5ECF">
        <w:rPr>
          <w:rFonts w:cstheme="minorHAnsi"/>
          <w:sz w:val="22"/>
          <w:szCs w:val="22"/>
          <w:lang w:val="fr-FR"/>
        </w:rPr>
        <w:t xml:space="preserve"> Cédant cédera aux Associés Cessionnaires la propriété légale pleine et entière de ses Droits au Prorata ; et</w:t>
      </w:r>
    </w:p>
    <w:p w14:paraId="5DCD5966" w14:textId="77777777" w:rsidR="00EC45B1" w:rsidRPr="007F5ECF" w:rsidRDefault="00000000">
      <w:pPr>
        <w:pStyle w:val="ListParagraph"/>
        <w:widowControl w:val="0"/>
        <w:numPr>
          <w:ilvl w:val="0"/>
          <w:numId w:val="14"/>
        </w:numPr>
        <w:tabs>
          <w:tab w:val="left" w:pos="4779"/>
        </w:tabs>
        <w:ind w:left="810" w:right="65" w:hanging="360"/>
        <w:contextualSpacing w:val="0"/>
        <w:jc w:val="both"/>
        <w:rPr>
          <w:rFonts w:cstheme="minorHAnsi"/>
          <w:sz w:val="22"/>
          <w:szCs w:val="22"/>
          <w:lang w:val="fr-FR"/>
        </w:rPr>
      </w:pPr>
      <w:proofErr w:type="gramStart"/>
      <w:r w:rsidRPr="007F5ECF">
        <w:rPr>
          <w:rFonts w:cstheme="minorHAnsi"/>
          <w:sz w:val="22"/>
          <w:szCs w:val="22"/>
          <w:lang w:val="fr-FR"/>
        </w:rPr>
        <w:t>les</w:t>
      </w:r>
      <w:proofErr w:type="gramEnd"/>
      <w:r w:rsidRPr="007F5ECF">
        <w:rPr>
          <w:rFonts w:cstheme="minorHAnsi"/>
          <w:sz w:val="22"/>
          <w:szCs w:val="22"/>
          <w:lang w:val="fr-FR"/>
        </w:rPr>
        <w:t xml:space="preserve"> Associés Cessionnaires payeront aux Associés Cédants le prix d'achat de leurs Droits au Prorata en numéraire par virement ou par tout autre moyen acceptable par l’Associé Cédant de fonds immédiatement disponibles à un compte indiqué par l'Associé Cédant au moins cinq (5) jours ouvrables avant la Date de Cession.</w:t>
      </w:r>
    </w:p>
    <w:p w14:paraId="29EB8E13" w14:textId="77777777" w:rsidR="00EC45B1" w:rsidRPr="007F5ECF" w:rsidRDefault="00EC45B1">
      <w:pPr>
        <w:widowControl w:val="0"/>
        <w:ind w:left="450"/>
        <w:jc w:val="both"/>
        <w:rPr>
          <w:rFonts w:cstheme="minorHAnsi"/>
          <w:sz w:val="22"/>
          <w:szCs w:val="22"/>
          <w:lang w:val="fr-FR"/>
        </w:rPr>
      </w:pPr>
    </w:p>
    <w:p w14:paraId="4CB63795" w14:textId="77777777" w:rsidR="00EC45B1" w:rsidRPr="007F5ECF" w:rsidRDefault="00000000">
      <w:pPr>
        <w:widowControl w:val="0"/>
        <w:ind w:left="450"/>
        <w:jc w:val="both"/>
        <w:rPr>
          <w:rFonts w:cstheme="minorHAnsi"/>
          <w:sz w:val="22"/>
          <w:szCs w:val="22"/>
          <w:lang w:val="fr-FR"/>
        </w:rPr>
      </w:pPr>
      <w:r w:rsidRPr="007F5ECF">
        <w:rPr>
          <w:rFonts w:cstheme="minorHAnsi"/>
          <w:sz w:val="22"/>
          <w:szCs w:val="22"/>
          <w:lang w:val="fr-FR"/>
        </w:rPr>
        <w:t>Au cas où :</w:t>
      </w:r>
    </w:p>
    <w:p w14:paraId="057F3051" w14:textId="77777777" w:rsidR="00EC45B1" w:rsidRPr="007F5ECF" w:rsidRDefault="00000000">
      <w:pPr>
        <w:pStyle w:val="ListParagraph"/>
        <w:widowControl w:val="0"/>
        <w:numPr>
          <w:ilvl w:val="0"/>
          <w:numId w:val="15"/>
        </w:numPr>
        <w:tabs>
          <w:tab w:val="left" w:pos="4779"/>
        </w:tabs>
        <w:ind w:left="810" w:right="65" w:hanging="360"/>
        <w:contextualSpacing w:val="0"/>
        <w:jc w:val="both"/>
        <w:rPr>
          <w:rFonts w:cstheme="minorHAnsi"/>
          <w:sz w:val="22"/>
          <w:szCs w:val="22"/>
          <w:lang w:val="fr-FR"/>
        </w:rPr>
      </w:pPr>
      <w:proofErr w:type="gramStart"/>
      <w:r w:rsidRPr="007F5ECF">
        <w:rPr>
          <w:rFonts w:cstheme="minorHAnsi"/>
          <w:sz w:val="22"/>
          <w:szCs w:val="22"/>
          <w:lang w:val="fr-FR"/>
        </w:rPr>
        <w:t>les</w:t>
      </w:r>
      <w:proofErr w:type="gramEnd"/>
      <w:r w:rsidRPr="007F5ECF">
        <w:rPr>
          <w:rFonts w:cstheme="minorHAnsi"/>
          <w:sz w:val="22"/>
          <w:szCs w:val="22"/>
          <w:lang w:val="fr-FR"/>
        </w:rPr>
        <w:t xml:space="preserve"> Associés Cessionnaires ne signifient pas à l'Associé Cédant une Notification de Premier Refus dans les délais </w:t>
      </w:r>
      <w:proofErr w:type="gramStart"/>
      <w:r w:rsidRPr="007F5ECF">
        <w:rPr>
          <w:rFonts w:cstheme="minorHAnsi"/>
          <w:sz w:val="22"/>
          <w:szCs w:val="22"/>
          <w:lang w:val="fr-FR"/>
        </w:rPr>
        <w:t>impartis;</w:t>
      </w:r>
      <w:proofErr w:type="gramEnd"/>
      <w:r w:rsidRPr="007F5ECF">
        <w:rPr>
          <w:rFonts w:cstheme="minorHAnsi"/>
          <w:sz w:val="22"/>
          <w:szCs w:val="22"/>
          <w:lang w:val="fr-FR"/>
        </w:rPr>
        <w:t xml:space="preserve"> </w:t>
      </w:r>
      <w:proofErr w:type="gramStart"/>
      <w:r w:rsidRPr="007F5ECF">
        <w:rPr>
          <w:rFonts w:cstheme="minorHAnsi"/>
          <w:sz w:val="22"/>
          <w:szCs w:val="22"/>
          <w:lang w:val="fr-FR"/>
        </w:rPr>
        <w:t>ou</w:t>
      </w:r>
      <w:proofErr w:type="gramEnd"/>
    </w:p>
    <w:p w14:paraId="7B6D3717" w14:textId="77777777" w:rsidR="00EC45B1" w:rsidRPr="007F5ECF" w:rsidRDefault="00000000">
      <w:pPr>
        <w:pStyle w:val="ListParagraph"/>
        <w:widowControl w:val="0"/>
        <w:numPr>
          <w:ilvl w:val="0"/>
          <w:numId w:val="15"/>
        </w:numPr>
        <w:tabs>
          <w:tab w:val="left" w:pos="4779"/>
        </w:tabs>
        <w:ind w:left="810" w:right="65" w:hanging="360"/>
        <w:contextualSpacing w:val="0"/>
        <w:jc w:val="both"/>
        <w:rPr>
          <w:rFonts w:cstheme="minorHAnsi"/>
          <w:sz w:val="22"/>
          <w:szCs w:val="22"/>
          <w:lang w:val="fr-FR"/>
        </w:rPr>
      </w:pPr>
      <w:proofErr w:type="gramStart"/>
      <w:r w:rsidRPr="007F5ECF">
        <w:rPr>
          <w:rFonts w:cstheme="minorHAnsi"/>
          <w:sz w:val="22"/>
          <w:szCs w:val="22"/>
          <w:lang w:val="fr-FR"/>
        </w:rPr>
        <w:t>les</w:t>
      </w:r>
      <w:proofErr w:type="gramEnd"/>
      <w:r w:rsidRPr="007F5ECF">
        <w:rPr>
          <w:rFonts w:cstheme="minorHAnsi"/>
          <w:sz w:val="22"/>
          <w:szCs w:val="22"/>
          <w:lang w:val="fr-FR"/>
        </w:rPr>
        <w:t xml:space="preserve"> Associés Cessionnaires n'achètent pas, dans les termes exposés au présent Article </w:t>
      </w:r>
      <w:r w:rsidRPr="007F5ECF">
        <w:rPr>
          <w:rFonts w:cstheme="minorHAnsi"/>
          <w:sz w:val="22"/>
          <w:szCs w:val="22"/>
          <w:shd w:val="clear" w:color="auto" w:fill="FFFF00"/>
          <w:lang w:val="fr-FR"/>
        </w:rPr>
        <w:t>7.12</w:t>
      </w:r>
      <w:r w:rsidRPr="007F5ECF">
        <w:rPr>
          <w:rFonts w:cstheme="minorHAnsi"/>
          <w:sz w:val="22"/>
          <w:szCs w:val="22"/>
          <w:lang w:val="fr-FR"/>
        </w:rPr>
        <w:t xml:space="preserve">, l'ensemble, et pas seulement une partie, des Parts Sociales </w:t>
      </w:r>
      <w:proofErr w:type="gramStart"/>
      <w:r w:rsidRPr="007F5ECF">
        <w:rPr>
          <w:rFonts w:cstheme="minorHAnsi"/>
          <w:sz w:val="22"/>
          <w:szCs w:val="22"/>
          <w:lang w:val="fr-FR"/>
        </w:rPr>
        <w:t>Offertes;</w:t>
      </w:r>
      <w:proofErr w:type="gramEnd"/>
      <w:r w:rsidRPr="007F5ECF">
        <w:rPr>
          <w:rFonts w:cstheme="minorHAnsi"/>
          <w:sz w:val="22"/>
          <w:szCs w:val="22"/>
          <w:lang w:val="fr-FR"/>
        </w:rPr>
        <w:t xml:space="preserve"> </w:t>
      </w:r>
      <w:proofErr w:type="gramStart"/>
      <w:r w:rsidRPr="007F5ECF">
        <w:rPr>
          <w:rFonts w:cstheme="minorHAnsi"/>
          <w:sz w:val="22"/>
          <w:szCs w:val="22"/>
          <w:lang w:val="fr-FR"/>
        </w:rPr>
        <w:t>ou</w:t>
      </w:r>
      <w:proofErr w:type="gramEnd"/>
    </w:p>
    <w:p w14:paraId="27E758E1" w14:textId="77777777" w:rsidR="00EC45B1" w:rsidRPr="007F5ECF" w:rsidRDefault="00000000">
      <w:pPr>
        <w:pStyle w:val="ListParagraph"/>
        <w:widowControl w:val="0"/>
        <w:numPr>
          <w:ilvl w:val="0"/>
          <w:numId w:val="15"/>
        </w:numPr>
        <w:tabs>
          <w:tab w:val="left" w:pos="4779"/>
        </w:tabs>
        <w:ind w:left="810" w:right="65" w:hanging="360"/>
        <w:contextualSpacing w:val="0"/>
        <w:jc w:val="both"/>
        <w:rPr>
          <w:rFonts w:cstheme="minorHAnsi"/>
          <w:sz w:val="22"/>
          <w:szCs w:val="22"/>
          <w:lang w:val="fr-FR"/>
        </w:rPr>
      </w:pPr>
      <w:r w:rsidRPr="007F5ECF">
        <w:rPr>
          <w:rFonts w:cstheme="minorHAnsi"/>
          <w:sz w:val="22"/>
          <w:szCs w:val="22"/>
          <w:lang w:val="fr-FR"/>
        </w:rPr>
        <w:t xml:space="preserve">le droit de préemption n'a pas été exercé par les Associés Cessionnaires en ce qui concerne l'ensemble, et pas seulement une partie, des Parts Sociales Offertes, alors les Associés Cédants pourront transférer les Parts Sociales Offertes au Tiers Cessionnaire dans un délai de quinze (15) jours ouvrables à compter de l'expiration du délai prévu au présent Article </w:t>
      </w:r>
      <w:r w:rsidRPr="007F5ECF">
        <w:rPr>
          <w:rFonts w:cstheme="minorHAnsi"/>
          <w:sz w:val="22"/>
          <w:szCs w:val="22"/>
          <w:shd w:val="clear" w:color="auto" w:fill="FFFF00"/>
          <w:lang w:val="fr-FR"/>
        </w:rPr>
        <w:t>7.12</w:t>
      </w:r>
      <w:r w:rsidRPr="007F5ECF">
        <w:rPr>
          <w:rFonts w:cstheme="minorHAnsi"/>
          <w:sz w:val="22"/>
          <w:szCs w:val="22"/>
          <w:lang w:val="fr-FR"/>
        </w:rPr>
        <w:t>, selon le cas, à un prix et selon des termes et conditions au moins aussi favorables que ceux prévus dans la Notification de l'Offre.</w:t>
      </w:r>
    </w:p>
    <w:p w14:paraId="71497C63" w14:textId="77777777" w:rsidR="00EC45B1" w:rsidRPr="007F5ECF" w:rsidRDefault="00EC45B1">
      <w:pPr>
        <w:widowControl w:val="0"/>
        <w:ind w:left="450"/>
        <w:jc w:val="both"/>
        <w:rPr>
          <w:rFonts w:cstheme="minorHAnsi"/>
          <w:sz w:val="22"/>
          <w:szCs w:val="22"/>
          <w:lang w:val="fr-FR"/>
        </w:rPr>
      </w:pPr>
    </w:p>
    <w:p w14:paraId="2B35DB33" w14:textId="77777777" w:rsidR="00EC45B1" w:rsidRPr="007F5ECF" w:rsidRDefault="00000000">
      <w:pPr>
        <w:widowControl w:val="0"/>
        <w:ind w:left="450"/>
        <w:jc w:val="both"/>
        <w:rPr>
          <w:rFonts w:cstheme="minorHAnsi"/>
          <w:sz w:val="22"/>
          <w:szCs w:val="22"/>
          <w:lang w:val="fr-FR"/>
        </w:rPr>
      </w:pPr>
      <w:r w:rsidRPr="007F5ECF">
        <w:rPr>
          <w:rFonts w:cstheme="minorHAnsi"/>
          <w:sz w:val="22"/>
          <w:szCs w:val="22"/>
          <w:lang w:val="fr-FR"/>
        </w:rPr>
        <w:t xml:space="preserve">Il est convenu que si l'Associé Cédant ne cède pas ou ne dispose pas d'une toute autre manière des Parts Sociales Offertes dans le délai de quinze (15) jours ouvrables prévu ci-dessus, la procédure prévue au présent Article </w:t>
      </w:r>
      <w:r w:rsidRPr="007F5ECF">
        <w:rPr>
          <w:rFonts w:cstheme="minorHAnsi"/>
          <w:sz w:val="22"/>
          <w:szCs w:val="22"/>
          <w:shd w:val="clear" w:color="auto" w:fill="FFFF00"/>
          <w:lang w:val="fr-FR"/>
        </w:rPr>
        <w:t>7.12</w:t>
      </w:r>
      <w:r w:rsidRPr="007F5ECF">
        <w:rPr>
          <w:rFonts w:cstheme="minorHAnsi"/>
          <w:sz w:val="22"/>
          <w:szCs w:val="22"/>
          <w:lang w:val="fr-FR"/>
        </w:rPr>
        <w:t xml:space="preserve"> sera de nouveau appliquée à toute cession ou disposition des Parts Sociales.</w:t>
      </w:r>
      <w:r w:rsidRPr="007F5ECF">
        <w:rPr>
          <w:rFonts w:cstheme="minorHAnsi"/>
          <w:sz w:val="22"/>
          <w:szCs w:val="22"/>
          <w:highlight w:val="cyan"/>
          <w:lang w:val="fr-FR"/>
        </w:rPr>
        <w:t>]</w:t>
      </w:r>
    </w:p>
    <w:p w14:paraId="4C270978" w14:textId="77777777" w:rsidR="00EC45B1" w:rsidRDefault="00000000">
      <w:pPr>
        <w:pStyle w:val="AoALevel1ABC"/>
        <w:keepNext w:val="0"/>
        <w:widowControl w:val="0"/>
        <w:numPr>
          <w:ilvl w:val="0"/>
          <w:numId w:val="99"/>
        </w:numPr>
        <w:pBdr>
          <w:bottom w:val="single" w:sz="6" w:space="4" w:color="1F4E5F"/>
        </w:pBdr>
        <w:tabs>
          <w:tab w:val="clear" w:pos="680"/>
          <w:tab w:val="left" w:pos="284"/>
        </w:tabs>
        <w:spacing w:before="360" w:after="240"/>
        <w:ind w:left="677" w:hanging="677"/>
        <w:contextualSpacing/>
      </w:pPr>
      <w:r>
        <w:t>DECISIONS DES ASSOCIES</w:t>
      </w:r>
    </w:p>
    <w:p w14:paraId="10A3278C" w14:textId="77777777" w:rsidR="00EC45B1" w:rsidRDefault="00000000">
      <w:pPr>
        <w:pStyle w:val="AoALevel2Article1"/>
        <w:keepNext w:val="0"/>
        <w:widowControl w:val="0"/>
        <w:numPr>
          <w:ilvl w:val="0"/>
          <w:numId w:val="0"/>
        </w:numPr>
        <w:tabs>
          <w:tab w:val="clear" w:pos="1418"/>
          <w:tab w:val="left" w:pos="1134"/>
        </w:tabs>
        <w:spacing w:before="120" w:after="0"/>
        <w:contextualSpacing/>
        <w:rPr>
          <w:lang w:val="fr-LU"/>
        </w:rPr>
      </w:pPr>
      <w:r>
        <w:rPr>
          <w:lang w:val="fr-LU"/>
        </w:rPr>
        <w:t>Article 8</w:t>
      </w:r>
      <w:r>
        <w:rPr>
          <w:lang w:val="fr-LU"/>
        </w:rPr>
        <w:tab/>
      </w:r>
      <w:r>
        <w:rPr>
          <w:lang w:val="fr-LU"/>
        </w:rPr>
        <w:tab/>
        <w:t>Décisions collectives des associés</w:t>
      </w:r>
    </w:p>
    <w:p w14:paraId="5E30EF5D"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8.1</w:t>
      </w:r>
      <w:r>
        <w:rPr>
          <w:lang w:val="fr-BE"/>
        </w:rPr>
        <w:tab/>
        <w:t xml:space="preserve">L'assemblée générale des associés est investie des pouvoirs qui lui sont expressément réservés par la Loi et par les présents statuts. </w:t>
      </w:r>
    </w:p>
    <w:p w14:paraId="165BA3E5"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lastRenderedPageBreak/>
        <w:t>8.2</w:t>
      </w:r>
      <w:r>
        <w:rPr>
          <w:lang w:val="fr-BE"/>
        </w:rPr>
        <w:tab/>
        <w:t>Chaque associé a la possibilité de participer aux décisions collectives quel que soit le nombre</w:t>
      </w:r>
      <w:r>
        <w:rPr>
          <w:lang w:val="fr-LU"/>
        </w:rPr>
        <w:t xml:space="preserve"> de parts sociales qu’il/elle détient.</w:t>
      </w:r>
    </w:p>
    <w:p w14:paraId="54AB4B40"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8.3</w:t>
      </w:r>
      <w:r>
        <w:rPr>
          <w:lang w:val="fr-BE"/>
        </w:rPr>
        <w:tab/>
        <w:t xml:space="preserve">Dans l’hypothèse où et tant que la Société n’a pas plus de soixante (60) associés, des décisions collectives pourront être valablement adoptées par voie de décisions écrites, à l’exception des propositions de modification des statuts. Dans ce cas, chaque associé recevra le texte intégral de ces résolutions à adopter et votera par écrit. </w:t>
      </w:r>
    </w:p>
    <w:p w14:paraId="4A72C5E5" w14:textId="77777777" w:rsidR="00EC45B1" w:rsidRDefault="00000000">
      <w:pPr>
        <w:pStyle w:val="AoALevel3Article11"/>
        <w:widowControl w:val="0"/>
        <w:numPr>
          <w:ilvl w:val="0"/>
          <w:numId w:val="0"/>
        </w:numPr>
        <w:tabs>
          <w:tab w:val="left" w:pos="680"/>
        </w:tabs>
        <w:spacing w:after="0"/>
        <w:ind w:left="680" w:hanging="680"/>
        <w:contextualSpacing/>
        <w:rPr>
          <w:lang w:val="fr-BE"/>
        </w:rPr>
      </w:pPr>
      <w:r>
        <w:rPr>
          <w:lang w:val="fr-BE"/>
        </w:rPr>
        <w:t>8.4</w:t>
      </w:r>
      <w:r>
        <w:rPr>
          <w:lang w:val="fr-BE"/>
        </w:rPr>
        <w:tab/>
        <w:t>En cas d’associé unique, cet associé exercera les pouvoirs dévolus à l’assemblée générale des associés en vertu des dispositions de la section XII de la Loi et des présents statuts. Dans cette hypothèse, toute référence faite à « l’assemblée générale des associés » devra être entendue comme une référence à l’associé unique selon le contexte, et le cas échéant, et les pouvoirs conférés à l’assemblée générale des associés seront exercés par l’associé unique</w:t>
      </w:r>
      <w:r>
        <w:rPr>
          <w:lang w:val="fr-LU"/>
        </w:rPr>
        <w:t xml:space="preserve">. </w:t>
      </w:r>
    </w:p>
    <w:p w14:paraId="301EAE65" w14:textId="77777777" w:rsidR="00EC45B1" w:rsidRDefault="00000000">
      <w:pPr>
        <w:pStyle w:val="AoALevel2Article1"/>
        <w:keepNext w:val="0"/>
        <w:widowControl w:val="0"/>
        <w:numPr>
          <w:ilvl w:val="0"/>
          <w:numId w:val="0"/>
        </w:numPr>
        <w:tabs>
          <w:tab w:val="clear" w:pos="1418"/>
          <w:tab w:val="left" w:pos="851"/>
        </w:tabs>
        <w:spacing w:before="120" w:after="0"/>
        <w:contextualSpacing/>
        <w:rPr>
          <w:lang w:val="fr-LU"/>
        </w:rPr>
      </w:pPr>
      <w:r>
        <w:rPr>
          <w:lang w:val="fr-LU"/>
        </w:rPr>
        <w:t>Article 9</w:t>
      </w:r>
      <w:r>
        <w:rPr>
          <w:lang w:val="fr-LU"/>
        </w:rPr>
        <w:tab/>
      </w:r>
      <w:r>
        <w:rPr>
          <w:lang w:val="fr-LU"/>
        </w:rPr>
        <w:tab/>
        <w:t>Assemblées générales des associés</w:t>
      </w:r>
    </w:p>
    <w:p w14:paraId="2415281E" w14:textId="77777777" w:rsidR="00EC45B1" w:rsidRDefault="00000000">
      <w:pPr>
        <w:pStyle w:val="AoALevel3Article11"/>
        <w:widowControl w:val="0"/>
        <w:numPr>
          <w:ilvl w:val="0"/>
          <w:numId w:val="0"/>
        </w:numPr>
        <w:tabs>
          <w:tab w:val="left" w:pos="680"/>
        </w:tabs>
        <w:spacing w:after="0"/>
        <w:ind w:left="680" w:hanging="680"/>
        <w:contextualSpacing/>
        <w:rPr>
          <w:bCs w:val="0"/>
          <w:lang w:val="fr-LU"/>
        </w:rPr>
      </w:pPr>
      <w:r>
        <w:rPr>
          <w:rStyle w:val="BodytextBold"/>
          <w:b w:val="0"/>
          <w:bCs/>
          <w:sz w:val="22"/>
          <w:lang w:val="fr-LU"/>
        </w:rPr>
        <w:t>9.1</w:t>
      </w:r>
      <w:r>
        <w:rPr>
          <w:rStyle w:val="BodytextBold"/>
          <w:b w:val="0"/>
          <w:bCs/>
          <w:sz w:val="22"/>
          <w:lang w:val="fr-LU"/>
        </w:rPr>
        <w:tab/>
        <w:t>D</w:t>
      </w:r>
      <w:proofErr w:type="spellStart"/>
      <w:r>
        <w:rPr>
          <w:bCs w:val="0"/>
          <w:lang w:val="fr-BE"/>
        </w:rPr>
        <w:t>ans</w:t>
      </w:r>
      <w:proofErr w:type="spellEnd"/>
      <w:r>
        <w:rPr>
          <w:bCs w:val="0"/>
          <w:lang w:val="fr-BE"/>
        </w:rPr>
        <w:t xml:space="preserve"> l’hypo</w:t>
      </w:r>
      <w:r>
        <w:rPr>
          <w:lang w:val="fr-BE"/>
        </w:rPr>
        <w:t xml:space="preserve">thèse où la Société comporte plus de soixante (60) associés, une assemblée générale des associés doit se tenir au minimum dans les six (6) mois suivant la fin de chaque exercice social au Grand-Duché de Luxembourg au siège social de la Société ou à tout autre endroit au Grand-Duché de Luxembourg tel que précisé dans la convocation à cette assemblée générale </w:t>
      </w:r>
      <w:r>
        <w:rPr>
          <w:lang w:val="fr-CH"/>
        </w:rPr>
        <w:t xml:space="preserve">envoyée ou par fax ou par </w:t>
      </w:r>
      <w:proofErr w:type="gramStart"/>
      <w:r>
        <w:rPr>
          <w:lang w:val="fr-CH"/>
        </w:rPr>
        <w:t>email</w:t>
      </w:r>
      <w:proofErr w:type="gramEnd"/>
      <w:r>
        <w:rPr>
          <w:lang w:val="fr-CH"/>
        </w:rPr>
        <w:t xml:space="preserve"> ou par tout autre moyen similaire</w:t>
      </w:r>
      <w:r>
        <w:rPr>
          <w:lang w:val="fr-BE"/>
        </w:rPr>
        <w:t xml:space="preserve">. D’autres assemblées générales d’associés pourront être tenues aux lieux et heures indiquées dans les convocations aux assemblées générales correspondantes. </w:t>
      </w:r>
    </w:p>
    <w:p w14:paraId="5AB0CF0E" w14:textId="77777777" w:rsidR="00EC45B1" w:rsidRDefault="00000000">
      <w:pPr>
        <w:pStyle w:val="AoALevel3Article11"/>
        <w:widowControl w:val="0"/>
        <w:numPr>
          <w:ilvl w:val="0"/>
          <w:numId w:val="0"/>
        </w:numPr>
        <w:tabs>
          <w:tab w:val="left" w:pos="680"/>
        </w:tabs>
        <w:spacing w:after="0"/>
        <w:ind w:left="680" w:hanging="680"/>
        <w:contextualSpacing/>
        <w:rPr>
          <w:rStyle w:val="BodytextBold"/>
          <w:b w:val="0"/>
          <w:sz w:val="22"/>
          <w:szCs w:val="22"/>
          <w:lang w:val="fr-LU"/>
        </w:rPr>
      </w:pPr>
      <w:r>
        <w:rPr>
          <w:lang w:val="fr-BE"/>
        </w:rPr>
        <w:t>9.2</w:t>
      </w:r>
      <w:r>
        <w:rPr>
          <w:lang w:val="fr-BE"/>
        </w:rPr>
        <w:tab/>
        <w:t>Lorsque tous les associés sont présents ou représentés à l’assemblée générale des associés et renoncent aux formalités de convocation, l’assemblée peut être tenue sans convocation</w:t>
      </w:r>
      <w:r>
        <w:rPr>
          <w:bCs w:val="0"/>
          <w:lang w:val="fr-BE"/>
        </w:rPr>
        <w:t xml:space="preserve"> ou publication préalable.</w:t>
      </w:r>
    </w:p>
    <w:p w14:paraId="4C0422DA" w14:textId="77777777" w:rsidR="00EC45B1" w:rsidRDefault="00000000">
      <w:pPr>
        <w:pStyle w:val="AoALevel3Article11"/>
        <w:widowControl w:val="0"/>
        <w:numPr>
          <w:ilvl w:val="0"/>
          <w:numId w:val="0"/>
        </w:numPr>
        <w:tabs>
          <w:tab w:val="left" w:pos="680"/>
        </w:tabs>
        <w:spacing w:after="0"/>
        <w:ind w:left="680" w:hanging="680"/>
        <w:contextualSpacing/>
        <w:rPr>
          <w:rStyle w:val="BodytextBold"/>
          <w:b w:val="0"/>
          <w:sz w:val="22"/>
          <w:szCs w:val="22"/>
          <w:lang w:val="fr-LU"/>
        </w:rPr>
      </w:pPr>
      <w:r>
        <w:rPr>
          <w:rStyle w:val="BodytextBold"/>
          <w:b w:val="0"/>
          <w:bCs/>
          <w:sz w:val="22"/>
          <w:lang w:val="fr-LU"/>
        </w:rPr>
        <w:t>9.3</w:t>
      </w:r>
      <w:r>
        <w:rPr>
          <w:rStyle w:val="BodytextBold"/>
          <w:b w:val="0"/>
          <w:bCs/>
          <w:sz w:val="22"/>
          <w:lang w:val="fr-LU"/>
        </w:rPr>
        <w:tab/>
        <w:t xml:space="preserve">Les </w:t>
      </w:r>
      <w:r>
        <w:rPr>
          <w:rStyle w:val="BodytextBold"/>
          <w:sz w:val="22"/>
          <w:lang w:val="fr-LU"/>
        </w:rPr>
        <w:t>associés</w:t>
      </w:r>
      <w:r>
        <w:rPr>
          <w:rStyle w:val="BodytextBold"/>
          <w:b w:val="0"/>
          <w:bCs/>
          <w:sz w:val="22"/>
          <w:lang w:val="fr-LU"/>
        </w:rPr>
        <w:t xml:space="preserve"> </w:t>
      </w:r>
      <w:r>
        <w:rPr>
          <w:lang w:val="fr-BE"/>
        </w:rPr>
        <w:t xml:space="preserve">participant à une assemblée par conférence téléphonique, par visioconférence ou par tout autre moyen de communication permettant de les identifier, permettant à toute personne participant à cette assemblée de s’entendre mutuellement de manière continue, et permettant une participation effective de ces personnes à l’assemblée, sont réputés être présents pour le calcul du quorum et des voix, à la condition que ces moyens de communication soient mis à disposition au lieu de tenue de l’assemblée. Dans ce cas, au moins un (1) associé ou son mandataire doit être physiquement présent au siège social de la Société et l’assemblée sera réputée tenue au lieu du siège social </w:t>
      </w:r>
      <w:r>
        <w:rPr>
          <w:rStyle w:val="BodytextBold"/>
          <w:sz w:val="22"/>
          <w:lang w:val="fr-LU"/>
        </w:rPr>
        <w:t>de la Société.</w:t>
      </w:r>
    </w:p>
    <w:p w14:paraId="55B9EC12" w14:textId="77777777" w:rsidR="00EC45B1" w:rsidRDefault="00000000">
      <w:pPr>
        <w:pStyle w:val="AoALevel3Article11"/>
        <w:widowControl w:val="0"/>
        <w:numPr>
          <w:ilvl w:val="0"/>
          <w:numId w:val="0"/>
        </w:numPr>
        <w:tabs>
          <w:tab w:val="left" w:pos="680"/>
        </w:tabs>
        <w:spacing w:after="0"/>
        <w:ind w:left="680" w:hanging="680"/>
        <w:contextualSpacing/>
        <w:rPr>
          <w:rStyle w:val="BodytextBold"/>
          <w:b w:val="0"/>
          <w:sz w:val="22"/>
          <w:lang w:val="fr-LU"/>
        </w:rPr>
      </w:pPr>
      <w:r>
        <w:rPr>
          <w:rStyle w:val="BodytextBold"/>
          <w:b w:val="0"/>
          <w:sz w:val="22"/>
          <w:lang w:val="fr-LU"/>
        </w:rPr>
        <w:t>9.4</w:t>
      </w:r>
      <w:r>
        <w:rPr>
          <w:rStyle w:val="BodytextBold"/>
          <w:sz w:val="22"/>
          <w:lang w:val="fr-LU"/>
        </w:rPr>
        <w:tab/>
        <w:t>Chaque associé</w:t>
      </w:r>
      <w:r>
        <w:rPr>
          <w:bCs w:val="0"/>
          <w:lang w:val="fr-BE"/>
        </w:rPr>
        <w:t xml:space="preserve"> peut voter à une assemblée générale par correspondance au moyen d’un formulaire de vote envoyé par lettre, courrier électronique, par télécopie ou par tout autre moyen de communication au siège social de la Société ou à l’adresse mentionnée dans l’avis de convocation. Les associés peuvent uniquement utiliser les formulaires de vote par correspondance distribués par la Société et qui contiennent au moins le lieu, la date et l’heure de l’assemblée, l’ordre du jour de l’assemblée, les propositions soumises aux associés, ainsi que pour chaque proposition trois cases autorisant l’associé à voter en faveur, contre ou à </w:t>
      </w:r>
      <w:r>
        <w:rPr>
          <w:b/>
          <w:lang w:val="fr-BE"/>
        </w:rPr>
        <w:t>s’ab</w:t>
      </w:r>
      <w:proofErr w:type="spellStart"/>
      <w:r>
        <w:rPr>
          <w:rStyle w:val="BodytextBold"/>
          <w:sz w:val="22"/>
          <w:lang w:val="fr-LU"/>
        </w:rPr>
        <w:t>stenir</w:t>
      </w:r>
      <w:proofErr w:type="spellEnd"/>
      <w:r>
        <w:rPr>
          <w:rStyle w:val="BodytextBold"/>
          <w:sz w:val="22"/>
          <w:lang w:val="fr-LU"/>
        </w:rPr>
        <w:t xml:space="preserve"> de voter en cochant la case appropriée.</w:t>
      </w:r>
    </w:p>
    <w:p w14:paraId="58A25770" w14:textId="77777777" w:rsidR="00EC45B1" w:rsidRDefault="00000000">
      <w:pPr>
        <w:pStyle w:val="AoALevel3Article11"/>
        <w:widowControl w:val="0"/>
        <w:numPr>
          <w:ilvl w:val="0"/>
          <w:numId w:val="0"/>
        </w:numPr>
        <w:tabs>
          <w:tab w:val="left" w:pos="680"/>
        </w:tabs>
        <w:spacing w:after="0"/>
        <w:ind w:left="680" w:hanging="680"/>
        <w:contextualSpacing/>
        <w:rPr>
          <w:rStyle w:val="BodytextBold"/>
          <w:b w:val="0"/>
          <w:sz w:val="22"/>
          <w:lang w:val="fr-LU"/>
        </w:rPr>
      </w:pPr>
      <w:r>
        <w:rPr>
          <w:rStyle w:val="BodytextBold"/>
          <w:b w:val="0"/>
          <w:sz w:val="22"/>
          <w:lang w:val="fr-LU"/>
        </w:rPr>
        <w:t>9.5</w:t>
      </w:r>
      <w:r>
        <w:rPr>
          <w:rStyle w:val="BodytextBold"/>
          <w:sz w:val="22"/>
          <w:lang w:val="fr-LU"/>
        </w:rPr>
        <w:tab/>
        <w:t>Les formulaires de vote q</w:t>
      </w:r>
      <w:proofErr w:type="spellStart"/>
      <w:r>
        <w:rPr>
          <w:b/>
          <w:bCs w:val="0"/>
          <w:lang w:val="fr-BE"/>
        </w:rPr>
        <w:t>ui</w:t>
      </w:r>
      <w:proofErr w:type="spellEnd"/>
      <w:r>
        <w:rPr>
          <w:lang w:val="fr-BE"/>
        </w:rPr>
        <w:t xml:space="preserve">, </w:t>
      </w:r>
      <w:r>
        <w:rPr>
          <w:bCs w:val="0"/>
          <w:lang w:val="fr-BE"/>
        </w:rPr>
        <w:t>pour une résolution proposée, ne font pas apparaître (i) un vote en faveur (ii) un vote contre la résolution proposée ou (iii) une abstention sont nuls en ce qui concerne cette résolution. La Société doit seulement prendre en compte les formulaires de vote reçus au plus tard le jour précédant la date de l’assemblée générale à laque</w:t>
      </w:r>
      <w:r>
        <w:rPr>
          <w:lang w:val="fr-BE"/>
        </w:rPr>
        <w:t>lle ils s</w:t>
      </w:r>
      <w:r>
        <w:rPr>
          <w:rStyle w:val="BodytextBold"/>
          <w:sz w:val="22"/>
          <w:lang w:val="fr-LU"/>
        </w:rPr>
        <w:t>e rapportent.</w:t>
      </w:r>
    </w:p>
    <w:p w14:paraId="670148EA" w14:textId="77777777" w:rsidR="00EC45B1" w:rsidRDefault="00000000">
      <w:pPr>
        <w:pStyle w:val="AoALevel3Article11"/>
        <w:widowControl w:val="0"/>
        <w:numPr>
          <w:ilvl w:val="0"/>
          <w:numId w:val="0"/>
        </w:numPr>
        <w:tabs>
          <w:tab w:val="left" w:pos="680"/>
        </w:tabs>
        <w:spacing w:after="0"/>
        <w:ind w:left="680" w:hanging="680"/>
        <w:contextualSpacing/>
        <w:rPr>
          <w:rStyle w:val="BodytextBold"/>
          <w:b w:val="0"/>
          <w:sz w:val="22"/>
          <w:lang w:val="fr-LU"/>
        </w:rPr>
      </w:pPr>
      <w:r>
        <w:rPr>
          <w:rStyle w:val="BodytextBold"/>
          <w:b w:val="0"/>
          <w:sz w:val="22"/>
          <w:lang w:val="fr-LU"/>
        </w:rPr>
        <w:t>9.6</w:t>
      </w:r>
      <w:r>
        <w:rPr>
          <w:rStyle w:val="BodytextBold"/>
          <w:sz w:val="22"/>
          <w:lang w:val="fr-LU"/>
        </w:rPr>
        <w:tab/>
        <w:t>Le conseil de gérance peut détermine</w:t>
      </w:r>
      <w:r>
        <w:rPr>
          <w:b/>
          <w:bCs w:val="0"/>
          <w:lang w:val="fr-BE"/>
        </w:rPr>
        <w:t>r</w:t>
      </w:r>
      <w:r>
        <w:rPr>
          <w:bCs w:val="0"/>
          <w:lang w:val="fr-BE"/>
        </w:rPr>
        <w:t xml:space="preserve"> des conditions supplémentaires à remplir par les associés afin de pouvoir participer aux a</w:t>
      </w:r>
      <w:proofErr w:type="spellStart"/>
      <w:r>
        <w:rPr>
          <w:rStyle w:val="BodytextBold"/>
          <w:sz w:val="22"/>
          <w:lang w:val="fr-LU"/>
        </w:rPr>
        <w:t>ssemblées</w:t>
      </w:r>
      <w:proofErr w:type="spellEnd"/>
      <w:r>
        <w:rPr>
          <w:rStyle w:val="BodytextBold"/>
          <w:sz w:val="22"/>
          <w:lang w:val="fr-LU"/>
        </w:rPr>
        <w:t xml:space="preserve"> générales des associés.</w:t>
      </w:r>
    </w:p>
    <w:p w14:paraId="3757220F" w14:textId="77777777" w:rsidR="00EC45B1" w:rsidRDefault="00000000">
      <w:pPr>
        <w:pStyle w:val="AoALevel3Article11"/>
        <w:widowControl w:val="0"/>
        <w:numPr>
          <w:ilvl w:val="0"/>
          <w:numId w:val="0"/>
        </w:numPr>
        <w:tabs>
          <w:tab w:val="left" w:pos="680"/>
        </w:tabs>
        <w:spacing w:after="0"/>
        <w:ind w:left="680" w:hanging="680"/>
        <w:contextualSpacing/>
        <w:rPr>
          <w:rStyle w:val="BodytextBold"/>
          <w:b w:val="0"/>
          <w:sz w:val="22"/>
          <w:lang w:val="fr-LU"/>
        </w:rPr>
      </w:pPr>
      <w:r>
        <w:rPr>
          <w:rStyle w:val="BodytextBold"/>
          <w:b w:val="0"/>
          <w:sz w:val="22"/>
          <w:lang w:val="fr-LU"/>
        </w:rPr>
        <w:t>9.7</w:t>
      </w:r>
      <w:r>
        <w:rPr>
          <w:rStyle w:val="BodytextBold"/>
          <w:sz w:val="22"/>
          <w:lang w:val="fr-LU"/>
        </w:rPr>
        <w:tab/>
        <w:t>Une liste de présence doit être dressée à toutes les assemblées générales des associés.</w:t>
      </w:r>
    </w:p>
    <w:p w14:paraId="24C26641" w14:textId="77777777" w:rsidR="00EC45B1" w:rsidRDefault="00000000">
      <w:pPr>
        <w:pStyle w:val="AoALevel2Article1"/>
        <w:keepNext w:val="0"/>
        <w:widowControl w:val="0"/>
        <w:numPr>
          <w:ilvl w:val="0"/>
          <w:numId w:val="0"/>
        </w:numPr>
        <w:tabs>
          <w:tab w:val="clear" w:pos="1418"/>
          <w:tab w:val="left" w:pos="851"/>
        </w:tabs>
        <w:spacing w:before="120" w:after="0"/>
        <w:contextualSpacing/>
        <w:rPr>
          <w:lang w:val="fr-LU"/>
        </w:rPr>
      </w:pPr>
      <w:r>
        <w:rPr>
          <w:lang w:val="fr-LU"/>
        </w:rPr>
        <w:t>Article 10</w:t>
      </w:r>
      <w:r>
        <w:rPr>
          <w:lang w:val="fr-LU"/>
        </w:rPr>
        <w:tab/>
        <w:t>Quorum, majorité et vote</w:t>
      </w:r>
    </w:p>
    <w:p w14:paraId="50D9860F" w14:textId="77777777" w:rsidR="00EC45B1" w:rsidRDefault="00000000">
      <w:pPr>
        <w:pStyle w:val="AoALevel3Article11"/>
        <w:widowControl w:val="0"/>
        <w:numPr>
          <w:ilvl w:val="0"/>
          <w:numId w:val="0"/>
        </w:numPr>
        <w:tabs>
          <w:tab w:val="left" w:pos="680"/>
        </w:tabs>
        <w:spacing w:after="0"/>
        <w:ind w:left="680" w:hanging="680"/>
        <w:contextualSpacing/>
        <w:rPr>
          <w:lang w:val="fr-FR"/>
        </w:rPr>
      </w:pPr>
      <w:r>
        <w:rPr>
          <w:lang w:val="fr-FR"/>
        </w:rPr>
        <w:t>10.1</w:t>
      </w:r>
      <w:r>
        <w:rPr>
          <w:lang w:val="fr-FR"/>
        </w:rPr>
        <w:tab/>
        <w:t xml:space="preserve">Chaque part sociale donne droit à une voix aux assemblées générales des associés. </w:t>
      </w:r>
    </w:p>
    <w:p w14:paraId="43F8BB00" w14:textId="77777777" w:rsidR="00EC45B1" w:rsidRDefault="00000000">
      <w:pPr>
        <w:pStyle w:val="AoALevel3Article11"/>
        <w:widowControl w:val="0"/>
        <w:numPr>
          <w:ilvl w:val="0"/>
          <w:numId w:val="0"/>
        </w:numPr>
        <w:tabs>
          <w:tab w:val="left" w:pos="680"/>
        </w:tabs>
        <w:spacing w:after="0"/>
        <w:ind w:left="680" w:hanging="680"/>
        <w:contextualSpacing/>
        <w:rPr>
          <w:lang w:val="fr-FR"/>
        </w:rPr>
      </w:pPr>
      <w:r>
        <w:rPr>
          <w:lang w:val="fr-FR"/>
        </w:rPr>
        <w:t>10.2</w:t>
      </w:r>
      <w:r>
        <w:rPr>
          <w:lang w:val="fr-FR"/>
        </w:rPr>
        <w:tab/>
        <w:t>Le conseil de gérance peut suspendre les droits de vote de tout associé qui ne remplit pas ses obligations telles que décrites par les statuts ou toute convention à laquelle cet associé est partie.</w:t>
      </w:r>
    </w:p>
    <w:p w14:paraId="382AC8C4" w14:textId="77777777" w:rsidR="00EC45B1" w:rsidRDefault="00000000">
      <w:pPr>
        <w:pStyle w:val="AoALevel3Article11"/>
        <w:widowControl w:val="0"/>
        <w:numPr>
          <w:ilvl w:val="0"/>
          <w:numId w:val="0"/>
        </w:numPr>
        <w:tabs>
          <w:tab w:val="left" w:pos="680"/>
        </w:tabs>
        <w:spacing w:after="0"/>
        <w:ind w:left="680" w:hanging="680"/>
        <w:contextualSpacing/>
        <w:rPr>
          <w:lang w:val="fr-FR"/>
        </w:rPr>
      </w:pPr>
      <w:r>
        <w:rPr>
          <w:lang w:val="fr-FR"/>
        </w:rPr>
        <w:t>10.3</w:t>
      </w:r>
      <w:r>
        <w:rPr>
          <w:lang w:val="fr-FR"/>
        </w:rPr>
        <w:tab/>
        <w:t>Un associé peut décider, à titre personnel, de ne pas exercer, temporairement ou de façon permanente, tout ou partie de ses droits de vote. Une telle renonciation lie l’associé renonçant et s’impose à la Société dès sa notification à cette dernière.</w:t>
      </w:r>
    </w:p>
    <w:p w14:paraId="5C64D1E8" w14:textId="77777777" w:rsidR="00EC45B1" w:rsidRDefault="00000000">
      <w:pPr>
        <w:pStyle w:val="AoALevel3Article11"/>
        <w:widowControl w:val="0"/>
        <w:numPr>
          <w:ilvl w:val="0"/>
          <w:numId w:val="0"/>
        </w:numPr>
        <w:tabs>
          <w:tab w:val="left" w:pos="680"/>
        </w:tabs>
        <w:spacing w:after="0"/>
        <w:ind w:left="680" w:hanging="680"/>
        <w:contextualSpacing/>
        <w:rPr>
          <w:lang w:val="fr-FR"/>
        </w:rPr>
      </w:pPr>
      <w:r>
        <w:rPr>
          <w:lang w:val="fr-FR"/>
        </w:rPr>
        <w:t>10.4</w:t>
      </w:r>
      <w:r>
        <w:rPr>
          <w:lang w:val="fr-FR"/>
        </w:rPr>
        <w:tab/>
        <w:t xml:space="preserve">Si les droits de vote d’un ou de plusieurs associés sont suspendus conformément à l’article </w:t>
      </w:r>
      <w:r>
        <w:rPr>
          <w:shd w:val="clear" w:color="auto" w:fill="FFFF00"/>
          <w:lang w:val="fr-FR"/>
        </w:rPr>
        <w:t>10.2</w:t>
      </w:r>
      <w:r>
        <w:rPr>
          <w:lang w:val="fr-FR"/>
        </w:rPr>
        <w:t xml:space="preserve"> ou si un ou plusieurs associés ont renoncé à leurs droits de vote conformément à l’article </w:t>
      </w:r>
      <w:r>
        <w:rPr>
          <w:shd w:val="clear" w:color="auto" w:fill="FFFF00"/>
          <w:lang w:val="fr-FR"/>
        </w:rPr>
        <w:t>10.3</w:t>
      </w:r>
      <w:r>
        <w:rPr>
          <w:lang w:val="fr-FR"/>
        </w:rPr>
        <w:t xml:space="preserve">, ces associés peuvent participer à toute assemblée générale de la Société, toutefois les parts sociales qu’ils détiennent </w:t>
      </w:r>
      <w:r>
        <w:rPr>
          <w:lang w:val="fr-FR"/>
        </w:rPr>
        <w:lastRenderedPageBreak/>
        <w:t xml:space="preserve">ne sont pas comptabilisées pour la détermination des conditions de quorum et de majorité à respecter durant les assemblées générales de la Société ou pour déterminer si les résolutions écrites ont été valablement adoptées. </w:t>
      </w:r>
    </w:p>
    <w:p w14:paraId="22D58ECB" w14:textId="77777777" w:rsidR="00EC45B1" w:rsidRDefault="00000000">
      <w:pPr>
        <w:pStyle w:val="AoALevel3Article11"/>
        <w:widowControl w:val="0"/>
        <w:numPr>
          <w:ilvl w:val="0"/>
          <w:numId w:val="0"/>
        </w:numPr>
        <w:tabs>
          <w:tab w:val="left" w:pos="680"/>
        </w:tabs>
        <w:spacing w:after="0"/>
        <w:ind w:left="680" w:hanging="680"/>
        <w:contextualSpacing/>
        <w:rPr>
          <w:lang w:val="fr-FR"/>
        </w:rPr>
      </w:pPr>
      <w:r>
        <w:rPr>
          <w:lang w:val="fr-FR"/>
        </w:rPr>
        <w:t>10.5</w:t>
      </w:r>
      <w:r>
        <w:rPr>
          <w:lang w:val="fr-FR"/>
        </w:rPr>
        <w:tab/>
        <w:t>Sous réserve de dispositions plus strictes des présents statuts ou de la Loi, les décisions collectives des associés ne sont valablement adoptées que pour autant qu’elles ont été adoptées par des associés détenant plus de la moitié du capital social. Si cette majorité n’est pas atteinte à la première réunion ou consultation par écrit, les associés sont convoqués ou consultés une seconde fois par lettre recommandée avec le même ordre du jour et les décisions sont prises à la majorité des votes valablement exprimés quelle que soit la portion du capital représenté.</w:t>
      </w:r>
    </w:p>
    <w:p w14:paraId="75D3CF98" w14:textId="77777777" w:rsidR="00EC45B1" w:rsidRDefault="00000000">
      <w:pPr>
        <w:pStyle w:val="AoALevel2Article1"/>
        <w:keepNext w:val="0"/>
        <w:widowControl w:val="0"/>
        <w:numPr>
          <w:ilvl w:val="0"/>
          <w:numId w:val="0"/>
        </w:numPr>
        <w:tabs>
          <w:tab w:val="clear" w:pos="1418"/>
          <w:tab w:val="left" w:pos="709"/>
        </w:tabs>
        <w:spacing w:before="120" w:after="0"/>
        <w:contextualSpacing/>
        <w:rPr>
          <w:lang w:val="fr-LU"/>
        </w:rPr>
      </w:pPr>
      <w:r>
        <w:rPr>
          <w:lang w:val="fr-LU"/>
        </w:rPr>
        <w:t>Article 11 Modification des statuts</w:t>
      </w:r>
    </w:p>
    <w:p w14:paraId="59CFEFDB" w14:textId="77777777" w:rsidR="00EC45B1" w:rsidRDefault="00000000">
      <w:pPr>
        <w:widowControl w:val="0"/>
        <w:ind w:right="20"/>
        <w:contextualSpacing/>
        <w:jc w:val="both"/>
        <w:rPr>
          <w:szCs w:val="22"/>
          <w:lang w:val="fr-LU"/>
        </w:rPr>
      </w:pPr>
      <w:r>
        <w:rPr>
          <w:szCs w:val="22"/>
          <w:lang w:val="fr-LU"/>
        </w:rPr>
        <w:t xml:space="preserve">Toute modification des statuts requiert l’accord des associés représentant au moins les trois quarts du capital social. </w:t>
      </w:r>
    </w:p>
    <w:p w14:paraId="1931854B" w14:textId="77777777" w:rsidR="00EC45B1" w:rsidRDefault="00000000">
      <w:pPr>
        <w:pStyle w:val="AoALevel2Article1"/>
        <w:keepNext w:val="0"/>
        <w:widowControl w:val="0"/>
        <w:numPr>
          <w:ilvl w:val="0"/>
          <w:numId w:val="0"/>
        </w:numPr>
        <w:tabs>
          <w:tab w:val="clear" w:pos="1418"/>
          <w:tab w:val="left" w:pos="851"/>
        </w:tabs>
        <w:spacing w:before="120" w:after="0"/>
        <w:contextualSpacing/>
        <w:rPr>
          <w:lang w:val="fr-LU"/>
        </w:rPr>
      </w:pPr>
      <w:r>
        <w:rPr>
          <w:lang w:val="fr-LU"/>
        </w:rPr>
        <w:t>Article 12</w:t>
      </w:r>
      <w:r>
        <w:rPr>
          <w:lang w:val="fr-LU"/>
        </w:rPr>
        <w:tab/>
        <w:t>Changement de nationalité</w:t>
      </w:r>
    </w:p>
    <w:p w14:paraId="1BD354D5" w14:textId="77777777" w:rsidR="00EC45B1" w:rsidRDefault="00000000">
      <w:pPr>
        <w:widowControl w:val="0"/>
        <w:ind w:right="23"/>
        <w:contextualSpacing/>
        <w:jc w:val="both"/>
        <w:rPr>
          <w:szCs w:val="22"/>
          <w:lang w:val="fr-LU"/>
        </w:rPr>
      </w:pPr>
      <w:r>
        <w:rPr>
          <w:szCs w:val="22"/>
          <w:lang w:val="fr-LU"/>
        </w:rPr>
        <w:t>Les associés peuvent changer la nationalité de la Société par une résolution de l’assemblée générale des associés adoptée dans les conditions requises pour la modification des présents statuts.</w:t>
      </w:r>
    </w:p>
    <w:p w14:paraId="156A26E7" w14:textId="77777777" w:rsidR="00EC45B1" w:rsidRDefault="00000000">
      <w:pPr>
        <w:pStyle w:val="AoALevel2Article1"/>
        <w:keepNext w:val="0"/>
        <w:widowControl w:val="0"/>
        <w:numPr>
          <w:ilvl w:val="0"/>
          <w:numId w:val="0"/>
        </w:numPr>
        <w:tabs>
          <w:tab w:val="clear" w:pos="1418"/>
          <w:tab w:val="left" w:pos="851"/>
        </w:tabs>
        <w:spacing w:before="120" w:after="0"/>
        <w:contextualSpacing/>
        <w:rPr>
          <w:lang w:val="fr-LU"/>
        </w:rPr>
      </w:pPr>
      <w:r>
        <w:rPr>
          <w:lang w:val="fr-LU"/>
        </w:rPr>
        <w:t>Article 13</w:t>
      </w:r>
      <w:r>
        <w:rPr>
          <w:lang w:val="fr-LU"/>
        </w:rPr>
        <w:tab/>
        <w:t>Droit de poser des questions</w:t>
      </w:r>
    </w:p>
    <w:p w14:paraId="24633640"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13.1</w:t>
      </w:r>
      <w:r>
        <w:rPr>
          <w:lang w:val="fr-LU"/>
        </w:rPr>
        <w:tab/>
        <w:t>Un ou plusieurs associés détenant ensemble au moins dix pour cent (10%) du capital social ou des droits de vote peut soumettre des questions par écrit au conseil de gérance concernant des opérations ayant un lien avec la gestion de la Société, ainsi que des sociétés contrôlées par la Société. Dans ce dernier cas, les questions doivent être appréciées au regard de l’intérêt social des sociétés concernées.</w:t>
      </w:r>
    </w:p>
    <w:p w14:paraId="0D24EFEC" w14:textId="77777777" w:rsidR="00EC45B1" w:rsidRDefault="00000000">
      <w:pPr>
        <w:pStyle w:val="AoALevel3Article11"/>
        <w:widowControl w:val="0"/>
        <w:numPr>
          <w:ilvl w:val="0"/>
          <w:numId w:val="0"/>
        </w:numPr>
        <w:tabs>
          <w:tab w:val="left" w:pos="680"/>
        </w:tabs>
        <w:spacing w:after="0"/>
        <w:ind w:left="680" w:right="20" w:hanging="680"/>
        <w:contextualSpacing/>
        <w:rPr>
          <w:lang w:val="fr-LU"/>
        </w:rPr>
      </w:pPr>
      <w:r>
        <w:rPr>
          <w:lang w:val="fr-LU"/>
        </w:rPr>
        <w:t>13.2</w:t>
      </w:r>
      <w:r>
        <w:rPr>
          <w:lang w:val="fr-LU"/>
        </w:rPr>
        <w:tab/>
        <w:t xml:space="preserve">En l’absence de réponse dans le délai d’un (1) mois, les associés concernés peuvent demander au </w:t>
      </w:r>
      <w:r>
        <w:rPr>
          <w:lang w:val="fr-BE"/>
        </w:rPr>
        <w:t>magistrat présidant la chambre du tribunal d’arrondissement de Luxembourg siégeant en matière commerciale et comme en matière de référé</w:t>
      </w:r>
      <w:r>
        <w:rPr>
          <w:lang w:val="fr-LU"/>
        </w:rPr>
        <w:t xml:space="preserve"> de désigner un ou plusieurs experts afin rédiger un rapport sur ces opérations de gestion visées.</w:t>
      </w:r>
    </w:p>
    <w:p w14:paraId="5D14ECD3" w14:textId="77777777" w:rsidR="00EC45B1" w:rsidRDefault="00000000">
      <w:pPr>
        <w:pStyle w:val="AoALevel1ABC"/>
        <w:keepNext w:val="0"/>
        <w:widowControl w:val="0"/>
        <w:numPr>
          <w:ilvl w:val="0"/>
          <w:numId w:val="100"/>
        </w:numPr>
        <w:pBdr>
          <w:bottom w:val="single" w:sz="6" w:space="4" w:color="1F4E5F"/>
        </w:pBdr>
        <w:tabs>
          <w:tab w:val="clear" w:pos="680"/>
          <w:tab w:val="left" w:pos="284"/>
        </w:tabs>
        <w:spacing w:before="360" w:after="240"/>
        <w:ind w:left="677" w:hanging="677"/>
        <w:contextualSpacing/>
        <w:rPr>
          <w:lang w:val="fr-LU"/>
        </w:rPr>
      </w:pPr>
      <w:r>
        <w:rPr>
          <w:lang w:val="fr-LU"/>
        </w:rPr>
        <w:t>GERANCE</w:t>
      </w:r>
    </w:p>
    <w:p w14:paraId="06CE4E6C" w14:textId="77777777" w:rsidR="00EC45B1" w:rsidRDefault="00000000">
      <w:pPr>
        <w:pStyle w:val="AoALevel2Article1"/>
        <w:keepNext w:val="0"/>
        <w:widowControl w:val="0"/>
        <w:numPr>
          <w:ilvl w:val="0"/>
          <w:numId w:val="0"/>
        </w:numPr>
        <w:tabs>
          <w:tab w:val="clear" w:pos="1418"/>
          <w:tab w:val="left" w:pos="993"/>
        </w:tabs>
        <w:spacing w:before="120" w:after="0"/>
        <w:contextualSpacing/>
        <w:rPr>
          <w:lang w:val="fr-LU"/>
        </w:rPr>
      </w:pPr>
      <w:r>
        <w:rPr>
          <w:lang w:val="fr-LU"/>
        </w:rPr>
        <w:t>Article 14</w:t>
      </w:r>
      <w:r>
        <w:rPr>
          <w:lang w:val="fr-LU"/>
        </w:rPr>
        <w:tab/>
      </w:r>
      <w:r>
        <w:rPr>
          <w:lang w:val="fr-LU"/>
        </w:rPr>
        <w:tab/>
        <w:t>Pouvoirs du gérant unique - Composition et pouvoirs du conseil de gérance</w:t>
      </w:r>
    </w:p>
    <w:p w14:paraId="33A32AB3" w14:textId="77777777" w:rsidR="00EC45B1" w:rsidRDefault="00000000">
      <w:pPr>
        <w:widowControl w:val="0"/>
        <w:tabs>
          <w:tab w:val="left" w:pos="1134"/>
        </w:tabs>
        <w:contextualSpacing/>
        <w:jc w:val="both"/>
        <w:rPr>
          <w:rFonts w:cstheme="minorHAnsi"/>
          <w:b/>
          <w:bCs/>
          <w:i/>
          <w:iCs/>
          <w:highlight w:val="cyan"/>
          <w:lang w:val="fr-FR"/>
        </w:rPr>
      </w:pPr>
      <w:r>
        <w:rPr>
          <w:rFonts w:cstheme="minorHAnsi"/>
          <w:b/>
          <w:bCs/>
          <w:i/>
          <w:iCs/>
          <w:highlight w:val="cyan"/>
          <w:lang w:val="fr-FR"/>
        </w:rPr>
        <w:t>Exemples de composition de conseil de gérance :</w:t>
      </w:r>
    </w:p>
    <w:p w14:paraId="15A9E7FA" w14:textId="77777777" w:rsidR="00EC45B1" w:rsidRDefault="00EC45B1">
      <w:pPr>
        <w:rPr>
          <w:lang w:val="fr-FR"/>
        </w:rPr>
      </w:pPr>
    </w:p>
    <w:p w14:paraId="32351838" w14:textId="77777777" w:rsidR="00EC45B1" w:rsidRDefault="00000000">
      <w:pPr>
        <w:widowControl w:val="0"/>
        <w:tabs>
          <w:tab w:val="left" w:pos="1134"/>
        </w:tabs>
        <w:contextualSpacing/>
        <w:jc w:val="both"/>
        <w:rPr>
          <w:rFonts w:cstheme="minorHAnsi"/>
          <w:i/>
          <w:iCs/>
          <w:highlight w:val="cyan"/>
          <w:lang w:val="fr-FR"/>
        </w:rPr>
      </w:pPr>
      <w:r>
        <w:rPr>
          <w:rFonts w:cstheme="minorHAnsi"/>
          <w:i/>
          <w:iCs/>
          <w:highlight w:val="cyan"/>
          <w:lang w:val="fr-FR"/>
        </w:rPr>
        <w:t>Composition standard :</w:t>
      </w:r>
    </w:p>
    <w:p w14:paraId="39EEF13D"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14.1</w:t>
      </w:r>
      <w:r>
        <w:rPr>
          <w:lang w:val="fr-LU"/>
        </w:rPr>
        <w:tab/>
        <w:t xml:space="preserve">La Société peut être gérée par un ou plusieurs gérants. Si la Société a plusieurs gérants, les gérants forment un conseil de gérance. </w:t>
      </w:r>
    </w:p>
    <w:p w14:paraId="1EA98349" w14:textId="77777777" w:rsidR="00EC45B1" w:rsidRDefault="00EC45B1">
      <w:pPr>
        <w:widowControl w:val="0"/>
        <w:tabs>
          <w:tab w:val="left" w:pos="1134"/>
        </w:tabs>
        <w:contextualSpacing/>
        <w:jc w:val="both"/>
        <w:rPr>
          <w:rFonts w:cstheme="minorHAnsi"/>
          <w:i/>
          <w:iCs/>
          <w:highlight w:val="cyan"/>
          <w:lang w:val="fr-FR"/>
        </w:rPr>
      </w:pPr>
    </w:p>
    <w:p w14:paraId="681E3DFE" w14:textId="77777777" w:rsidR="00EC45B1" w:rsidRDefault="00000000">
      <w:pPr>
        <w:widowControl w:val="0"/>
        <w:tabs>
          <w:tab w:val="left" w:pos="1134"/>
        </w:tabs>
        <w:contextualSpacing/>
        <w:jc w:val="both"/>
        <w:rPr>
          <w:rFonts w:cstheme="minorHAnsi"/>
          <w:i/>
          <w:iCs/>
          <w:highlight w:val="cyan"/>
          <w:lang w:val="fr-FR"/>
        </w:rPr>
      </w:pPr>
      <w:r>
        <w:rPr>
          <w:rFonts w:cstheme="minorHAnsi"/>
          <w:i/>
          <w:iCs/>
          <w:highlight w:val="cyan"/>
          <w:lang w:val="fr-FR"/>
        </w:rPr>
        <w:t>Conseil de gérance avec catégorie de gérants :</w:t>
      </w:r>
    </w:p>
    <w:p w14:paraId="6B3D1522" w14:textId="77777777" w:rsidR="00EC45B1" w:rsidRDefault="00000000">
      <w:pPr>
        <w:pStyle w:val="AoALevel3Article11"/>
        <w:widowControl w:val="0"/>
        <w:numPr>
          <w:ilvl w:val="0"/>
          <w:numId w:val="0"/>
        </w:numPr>
        <w:spacing w:after="0"/>
        <w:ind w:left="-50"/>
        <w:contextualSpacing/>
        <w:rPr>
          <w:lang w:val="fr-LU"/>
        </w:rPr>
      </w:pPr>
      <w:r>
        <w:rPr>
          <w:lang w:val="fr-LU"/>
        </w:rPr>
        <w:t>14.1</w:t>
      </w:r>
      <w:r>
        <w:rPr>
          <w:lang w:val="fr-LU"/>
        </w:rPr>
        <w:tab/>
      </w:r>
      <w:r>
        <w:rPr>
          <w:shd w:val="clear" w:color="auto" w:fill="00FFFF"/>
          <w:lang w:val="fr-LU"/>
        </w:rPr>
        <w:t>[</w:t>
      </w:r>
      <w:r>
        <w:rPr>
          <w:lang w:val="fr-LU"/>
        </w:rPr>
        <w:t xml:space="preserve">La société est administrée par un ou plusieurs gérants (les « </w:t>
      </w:r>
      <w:r>
        <w:rPr>
          <w:b/>
          <w:bCs w:val="0"/>
          <w:lang w:val="fr-LU"/>
        </w:rPr>
        <w:t>Gérants</w:t>
      </w:r>
      <w:r>
        <w:rPr>
          <w:lang w:val="fr-LU"/>
        </w:rPr>
        <w:t xml:space="preserve"> ») associés ou non, dont la majorité réside au Luxembourg.</w:t>
      </w:r>
    </w:p>
    <w:p w14:paraId="2160ADB8" w14:textId="77777777" w:rsidR="00EC45B1" w:rsidRDefault="00000000">
      <w:pPr>
        <w:pStyle w:val="AoALevel3Article11"/>
        <w:widowControl w:val="0"/>
        <w:numPr>
          <w:ilvl w:val="0"/>
          <w:numId w:val="0"/>
        </w:numPr>
        <w:spacing w:after="0"/>
        <w:ind w:left="567"/>
        <w:contextualSpacing/>
        <w:rPr>
          <w:lang w:val="fr-LU"/>
        </w:rPr>
      </w:pPr>
      <w:r>
        <w:rPr>
          <w:lang w:val="fr-LU"/>
        </w:rPr>
        <w:t xml:space="preserve">Si plusieurs gérants sont nommés, ils constitueront un conseil de gérance (le « </w:t>
      </w:r>
      <w:r>
        <w:rPr>
          <w:b/>
          <w:bCs w:val="0"/>
          <w:lang w:val="fr-LU"/>
        </w:rPr>
        <w:t>Conseil de Gérance</w:t>
      </w:r>
      <w:r>
        <w:rPr>
          <w:lang w:val="fr-LU"/>
        </w:rPr>
        <w:t xml:space="preserve"> ») composé de deux Gérants ou plus, parmi lesquels : (A) un ou plusieurs Gérant de catégorie A (chacun un « </w:t>
      </w:r>
      <w:r>
        <w:rPr>
          <w:b/>
          <w:bCs w:val="0"/>
          <w:lang w:val="fr-LU"/>
        </w:rPr>
        <w:t>Gérant de Catégorie A</w:t>
      </w:r>
      <w:r>
        <w:rPr>
          <w:lang w:val="fr-LU"/>
        </w:rPr>
        <w:t xml:space="preserve"> ») et (B) un ou plusieurs Gérant de catégorie B (chacun un « </w:t>
      </w:r>
      <w:r>
        <w:rPr>
          <w:b/>
          <w:bCs w:val="0"/>
          <w:lang w:val="fr-LU"/>
        </w:rPr>
        <w:t>Gérant de Catégorie B</w:t>
      </w:r>
      <w:r>
        <w:rPr>
          <w:lang w:val="fr-LU"/>
        </w:rPr>
        <w:t xml:space="preserve"> »).</w:t>
      </w:r>
      <w:r>
        <w:rPr>
          <w:shd w:val="clear" w:color="auto" w:fill="00FFFF"/>
          <w:lang w:val="fr-LU"/>
        </w:rPr>
        <w:t>]</w:t>
      </w:r>
    </w:p>
    <w:p w14:paraId="14F522C5" w14:textId="77777777" w:rsidR="00EC45B1" w:rsidRDefault="00EC45B1">
      <w:pPr>
        <w:rPr>
          <w:lang w:val="fr-FR"/>
        </w:rPr>
      </w:pPr>
    </w:p>
    <w:p w14:paraId="1B439884" w14:textId="77777777" w:rsidR="00EC45B1" w:rsidRDefault="00EC45B1">
      <w:pPr>
        <w:rPr>
          <w:lang w:val="fr-FR"/>
        </w:rPr>
      </w:pPr>
    </w:p>
    <w:p w14:paraId="0B3EB53B"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14.2</w:t>
      </w:r>
      <w:r>
        <w:rPr>
          <w:lang w:val="fr-LU"/>
        </w:rPr>
        <w:tab/>
        <w:t xml:space="preserve">Lorsque la Société est gérée par un gérant unique, le cas échéant et lorsque le terme « gérant unique » n’est pas expressément mentionné dans ces statuts, une référence au « conseil de gérance » dans ces statuts doit être entendue comme une référence au « gérant unique ». </w:t>
      </w:r>
    </w:p>
    <w:p w14:paraId="7FBB5187"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14.3</w:t>
      </w:r>
      <w:r>
        <w:rPr>
          <w:lang w:val="fr-LU"/>
        </w:rPr>
        <w:tab/>
        <w:t>Le conseil de gérance est investi des pouvoirs les plus étendus pour agir au nom de la Société et pour prendre toute mesure nécessaire ou utile pour l’accomplissement de l’objet social de la Société, à l’exception des pouvoirs réservés par la Loi ou par les présents statuts à l’assemblée générale des associés.</w:t>
      </w:r>
    </w:p>
    <w:p w14:paraId="5033919E" w14:textId="77777777" w:rsidR="00EC45B1" w:rsidRDefault="00000000">
      <w:pPr>
        <w:pStyle w:val="AoALevel2Article1"/>
        <w:keepNext w:val="0"/>
        <w:widowControl w:val="0"/>
        <w:numPr>
          <w:ilvl w:val="0"/>
          <w:numId w:val="0"/>
        </w:numPr>
        <w:tabs>
          <w:tab w:val="clear" w:pos="1418"/>
          <w:tab w:val="left" w:pos="851"/>
        </w:tabs>
        <w:spacing w:before="120" w:after="0"/>
        <w:contextualSpacing/>
        <w:rPr>
          <w:lang w:val="fr-FR"/>
        </w:rPr>
      </w:pPr>
      <w:r>
        <w:rPr>
          <w:lang w:val="fr-FR"/>
        </w:rPr>
        <w:t>Article 15</w:t>
      </w:r>
      <w:r>
        <w:rPr>
          <w:lang w:val="fr-FR"/>
        </w:rPr>
        <w:tab/>
      </w:r>
      <w:r>
        <w:rPr>
          <w:lang w:val="fr-FR"/>
        </w:rPr>
        <w:tab/>
        <w:t>Gestion journalière</w:t>
      </w:r>
    </w:p>
    <w:p w14:paraId="656631B0" w14:textId="77777777" w:rsidR="00EC45B1" w:rsidRDefault="00000000">
      <w:pPr>
        <w:pStyle w:val="AoALevel2Article1"/>
        <w:widowControl w:val="0"/>
        <w:numPr>
          <w:ilvl w:val="0"/>
          <w:numId w:val="0"/>
        </w:numPr>
        <w:tabs>
          <w:tab w:val="clear" w:pos="1418"/>
          <w:tab w:val="left" w:pos="851"/>
        </w:tabs>
        <w:spacing w:before="120" w:after="0"/>
        <w:contextualSpacing/>
        <w:rPr>
          <w:b w:val="0"/>
          <w:bCs w:val="0"/>
          <w:lang w:val="fr-LU"/>
        </w:rPr>
      </w:pPr>
      <w:r>
        <w:rPr>
          <w:b w:val="0"/>
          <w:bCs w:val="0"/>
          <w:lang w:val="fr-FR"/>
        </w:rPr>
        <w:t>15.1</w:t>
      </w:r>
      <w:r>
        <w:rPr>
          <w:b w:val="0"/>
          <w:bCs w:val="0"/>
          <w:lang w:val="fr-FR"/>
        </w:rPr>
        <w:tab/>
      </w:r>
      <w:r>
        <w:rPr>
          <w:b w:val="0"/>
          <w:bCs w:val="0"/>
          <w:lang w:val="fr-LU"/>
        </w:rPr>
        <w:t xml:space="preserve">La gestion journalière de la Société ainsi que la représentation de la Société en rapport avec une telle </w:t>
      </w:r>
      <w:r>
        <w:rPr>
          <w:b w:val="0"/>
          <w:bCs w:val="0"/>
          <w:lang w:val="fr-LU"/>
        </w:rPr>
        <w:lastRenderedPageBreak/>
        <w:t>gestion journalière peut être déléguée à un ou plusieurs gérants, dirigeants ou autres agents, agissant individuellement ou conjointement. Leur nomination, leur révocation et leurs pouvoirs seront déterminés par une décision du conseil de gérance.</w:t>
      </w:r>
    </w:p>
    <w:p w14:paraId="1C8D1E3B" w14:textId="77777777" w:rsidR="00EC45B1" w:rsidRDefault="00EC45B1">
      <w:pPr>
        <w:pStyle w:val="AoALevel2Article1"/>
        <w:keepNext w:val="0"/>
        <w:widowControl w:val="0"/>
        <w:numPr>
          <w:ilvl w:val="0"/>
          <w:numId w:val="0"/>
        </w:numPr>
        <w:tabs>
          <w:tab w:val="clear" w:pos="1418"/>
          <w:tab w:val="left" w:pos="851"/>
        </w:tabs>
        <w:spacing w:before="120" w:after="0"/>
        <w:contextualSpacing/>
        <w:rPr>
          <w:lang w:val="fr-FR"/>
        </w:rPr>
      </w:pPr>
    </w:p>
    <w:p w14:paraId="6CCD897C" w14:textId="77777777" w:rsidR="00EC45B1" w:rsidRDefault="00000000">
      <w:pPr>
        <w:pStyle w:val="AoALevel2Article1"/>
        <w:keepNext w:val="0"/>
        <w:widowControl w:val="0"/>
        <w:numPr>
          <w:ilvl w:val="0"/>
          <w:numId w:val="0"/>
        </w:numPr>
        <w:tabs>
          <w:tab w:val="clear" w:pos="1418"/>
          <w:tab w:val="left" w:pos="851"/>
        </w:tabs>
        <w:spacing w:before="120" w:after="0"/>
        <w:contextualSpacing/>
        <w:rPr>
          <w:lang w:val="fr-FR"/>
        </w:rPr>
      </w:pPr>
      <w:r>
        <w:rPr>
          <w:lang w:val="fr-FR"/>
        </w:rPr>
        <w:t>Article 16</w:t>
      </w:r>
      <w:r>
        <w:rPr>
          <w:lang w:val="fr-FR"/>
        </w:rPr>
        <w:tab/>
      </w:r>
      <w:r>
        <w:rPr>
          <w:lang w:val="fr-FR"/>
        </w:rPr>
        <w:tab/>
        <w:t>Nomination, révocation, rémunération et durée du mandat des gérants</w:t>
      </w:r>
    </w:p>
    <w:p w14:paraId="242041E6"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16.1</w:t>
      </w:r>
      <w:r>
        <w:rPr>
          <w:lang w:val="fr-LU"/>
        </w:rPr>
        <w:tab/>
        <w:t xml:space="preserve">Les gérants sont nommés par l’assemblée générale des associés qui détermine leur rémunération (s’il y a lieu) et la durée de leur mandat. </w:t>
      </w:r>
    </w:p>
    <w:p w14:paraId="048CE51B"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16.2</w:t>
      </w:r>
      <w:r>
        <w:rPr>
          <w:lang w:val="fr-LU"/>
        </w:rPr>
        <w:tab/>
        <w:t xml:space="preserve">Les gérants sont nommés et peuvent être librement révoqués à tout moment, avec ou sans motif, par une décision des associés représentant plus de la moitié du capital social de la Société. </w:t>
      </w:r>
    </w:p>
    <w:p w14:paraId="2C3DFA67" w14:textId="77777777" w:rsidR="00EC45B1" w:rsidRDefault="00000000">
      <w:pPr>
        <w:pStyle w:val="AoALevel2Article1"/>
        <w:keepNext w:val="0"/>
        <w:widowControl w:val="0"/>
        <w:numPr>
          <w:ilvl w:val="0"/>
          <w:numId w:val="0"/>
        </w:numPr>
        <w:tabs>
          <w:tab w:val="clear" w:pos="1418"/>
          <w:tab w:val="left" w:pos="993"/>
        </w:tabs>
        <w:spacing w:before="120" w:after="0"/>
        <w:contextualSpacing/>
        <w:rPr>
          <w:lang w:val="fr-LU"/>
        </w:rPr>
      </w:pPr>
      <w:r>
        <w:rPr>
          <w:lang w:val="fr-LU"/>
        </w:rPr>
        <w:t>Article 17</w:t>
      </w:r>
      <w:r>
        <w:rPr>
          <w:lang w:val="fr-LU"/>
        </w:rPr>
        <w:tab/>
      </w:r>
      <w:r>
        <w:rPr>
          <w:lang w:val="fr-LU"/>
        </w:rPr>
        <w:tab/>
        <w:t>Convocation aux réunions du conseil de gérance</w:t>
      </w:r>
    </w:p>
    <w:p w14:paraId="60BC00BB" w14:textId="77777777" w:rsidR="00EC45B1" w:rsidRDefault="00000000">
      <w:pPr>
        <w:pStyle w:val="AoALevel2Article1"/>
        <w:widowControl w:val="0"/>
        <w:numPr>
          <w:ilvl w:val="0"/>
          <w:numId w:val="0"/>
        </w:numPr>
        <w:tabs>
          <w:tab w:val="clear" w:pos="1418"/>
          <w:tab w:val="left" w:pos="993"/>
        </w:tabs>
        <w:spacing w:before="120" w:after="0"/>
        <w:contextualSpacing/>
        <w:rPr>
          <w:lang w:val="fr-FR"/>
        </w:rPr>
      </w:pPr>
      <w:r>
        <w:rPr>
          <w:b w:val="0"/>
          <w:bCs w:val="0"/>
          <w:lang w:val="fr-LU"/>
        </w:rPr>
        <w:t>17.1</w:t>
      </w:r>
      <w:r>
        <w:rPr>
          <w:b w:val="0"/>
          <w:bCs w:val="0"/>
          <w:lang w:val="fr-LU"/>
        </w:rPr>
        <w:tab/>
        <w:t>Le conseil de gérance se réunit sur convocation de tout gérant. Les réunions du conseil de gérance sont tenues au siège social de la Société sauf indication contraire dans la convocation à la réunion.</w:t>
      </w:r>
    </w:p>
    <w:p w14:paraId="2774F26E" w14:textId="77777777" w:rsidR="00EC45B1" w:rsidRDefault="00EC45B1">
      <w:pPr>
        <w:widowControl w:val="0"/>
        <w:tabs>
          <w:tab w:val="left" w:pos="993"/>
        </w:tabs>
        <w:spacing w:before="120"/>
        <w:contextualSpacing/>
        <w:rPr>
          <w:sz w:val="22"/>
          <w:lang w:val="fr-LU"/>
        </w:rPr>
      </w:pPr>
    </w:p>
    <w:p w14:paraId="4C854066" w14:textId="77777777" w:rsidR="00EC45B1" w:rsidRDefault="00000000">
      <w:pPr>
        <w:pStyle w:val="AoALevel2Article1"/>
        <w:widowControl w:val="0"/>
        <w:numPr>
          <w:ilvl w:val="0"/>
          <w:numId w:val="0"/>
        </w:numPr>
        <w:tabs>
          <w:tab w:val="clear" w:pos="1418"/>
          <w:tab w:val="left" w:pos="993"/>
        </w:tabs>
        <w:spacing w:before="120" w:after="0"/>
        <w:contextualSpacing/>
        <w:rPr>
          <w:b w:val="0"/>
          <w:bCs w:val="0"/>
          <w:lang w:val="fr-FR"/>
        </w:rPr>
      </w:pPr>
      <w:r>
        <w:rPr>
          <w:b w:val="0"/>
          <w:bCs w:val="0"/>
          <w:lang w:val="fr-LU"/>
        </w:rPr>
        <w:t>17.2</w:t>
      </w:r>
      <w:r>
        <w:rPr>
          <w:b w:val="0"/>
          <w:bCs w:val="0"/>
          <w:lang w:val="fr-LU"/>
        </w:rPr>
        <w:tab/>
        <w:t xml:space="preserve">Une convocation écrite à toute réunion du conseil de gérance doit être donné aux gérants au minimum vingt-quatre (24) heures à l’avance par rapport à l’heure fixée pour la réunion, sauf en cas d’urgence, auquel cas la nature et les motifs d’une telle urgence seront mentionnés dans la convocation. Une telle convocation peut être omise en cas d’accord écrit de chaque gérant par télécopie, courrier électronique ou par tout autre moyen de communication, une copie d’un tel document signé étant une preuve suffisante d’un tel accord. Aucune convocation préalable n’est exigée pour un conseil de gérance dont le lieu et l’heure ont été déterminés par une décision adoptée lors d’un précédent conseil de gérance, communiquée à tous les membres du conseil de gérance. </w:t>
      </w:r>
    </w:p>
    <w:p w14:paraId="2F046C1C" w14:textId="77777777" w:rsidR="00EC45B1" w:rsidRDefault="00000000">
      <w:pPr>
        <w:pStyle w:val="AoALevel2Article1"/>
        <w:widowControl w:val="0"/>
        <w:numPr>
          <w:ilvl w:val="0"/>
          <w:numId w:val="0"/>
        </w:numPr>
        <w:tabs>
          <w:tab w:val="clear" w:pos="1418"/>
          <w:tab w:val="left" w:pos="993"/>
        </w:tabs>
        <w:spacing w:before="120" w:after="0"/>
        <w:contextualSpacing/>
        <w:rPr>
          <w:b w:val="0"/>
          <w:bCs w:val="0"/>
          <w:lang w:val="fr-LU"/>
        </w:rPr>
      </w:pPr>
      <w:r>
        <w:rPr>
          <w:b w:val="0"/>
          <w:bCs w:val="0"/>
          <w:lang w:val="fr-LU"/>
        </w:rPr>
        <w:t>17.3</w:t>
      </w:r>
      <w:r>
        <w:rPr>
          <w:b w:val="0"/>
          <w:bCs w:val="0"/>
          <w:lang w:val="fr-LU"/>
        </w:rPr>
        <w:tab/>
        <w:t>Aucune convocation préalable n’est requise dans l’hypothèse où tous les gérants sont présents ou représentés à un conseil de gérance et renoncent aux formalités de convocation ou dans l’hypothèse de décisions écrites et approuvées par tous les membres du conseil de gérance.</w:t>
      </w:r>
    </w:p>
    <w:p w14:paraId="57B44CF4" w14:textId="77777777" w:rsidR="00EC45B1" w:rsidRDefault="00EC45B1">
      <w:pPr>
        <w:pStyle w:val="AoALevel2Article1"/>
        <w:keepNext w:val="0"/>
        <w:widowControl w:val="0"/>
        <w:numPr>
          <w:ilvl w:val="0"/>
          <w:numId w:val="0"/>
        </w:numPr>
        <w:tabs>
          <w:tab w:val="clear" w:pos="1418"/>
          <w:tab w:val="left" w:pos="993"/>
        </w:tabs>
        <w:spacing w:before="120" w:after="0"/>
        <w:contextualSpacing/>
        <w:rPr>
          <w:lang w:val="fr-LU"/>
        </w:rPr>
      </w:pPr>
    </w:p>
    <w:p w14:paraId="3AF9243A" w14:textId="77777777" w:rsidR="00EC45B1" w:rsidRDefault="00000000">
      <w:pPr>
        <w:pStyle w:val="AoALevel2Article1"/>
        <w:keepNext w:val="0"/>
        <w:widowControl w:val="0"/>
        <w:numPr>
          <w:ilvl w:val="0"/>
          <w:numId w:val="0"/>
        </w:numPr>
        <w:tabs>
          <w:tab w:val="clear" w:pos="1418"/>
          <w:tab w:val="left" w:pos="993"/>
        </w:tabs>
        <w:spacing w:before="120" w:after="0"/>
        <w:contextualSpacing/>
        <w:rPr>
          <w:lang w:val="fr-FR"/>
        </w:rPr>
      </w:pPr>
      <w:r>
        <w:rPr>
          <w:lang w:val="fr-LU"/>
        </w:rPr>
        <w:t>Article 18</w:t>
      </w:r>
      <w:r>
        <w:rPr>
          <w:lang w:val="fr-LU"/>
        </w:rPr>
        <w:tab/>
      </w:r>
      <w:r>
        <w:rPr>
          <w:lang w:val="fr-LU"/>
        </w:rPr>
        <w:tab/>
        <w:t>Conduite des réunions du conseil de gérance</w:t>
      </w:r>
    </w:p>
    <w:p w14:paraId="02EF9B04" w14:textId="77777777" w:rsidR="00EC45B1" w:rsidRDefault="00000000">
      <w:pPr>
        <w:pStyle w:val="AoALevel2Article1"/>
        <w:widowControl w:val="0"/>
        <w:numPr>
          <w:ilvl w:val="0"/>
          <w:numId w:val="0"/>
        </w:numPr>
        <w:tabs>
          <w:tab w:val="clear" w:pos="1418"/>
          <w:tab w:val="left" w:pos="993"/>
        </w:tabs>
        <w:spacing w:before="120" w:after="0"/>
        <w:contextualSpacing/>
        <w:rPr>
          <w:b w:val="0"/>
          <w:bCs w:val="0"/>
          <w:lang w:val="fr-FR"/>
        </w:rPr>
      </w:pPr>
      <w:r>
        <w:rPr>
          <w:b w:val="0"/>
          <w:bCs w:val="0"/>
          <w:lang w:val="fr-LU"/>
        </w:rPr>
        <w:t>18.1</w:t>
      </w:r>
      <w:r>
        <w:rPr>
          <w:b w:val="0"/>
          <w:bCs w:val="0"/>
          <w:lang w:val="fr-LU"/>
        </w:rPr>
        <w:tab/>
        <w:t>Le conseil de gérance peut élire un président du conseil de gérance parmi ses membres. Il peut également désigner un secrétaire, qui peut ne pas être membre du conseil de gérance et qui sera chargé de tenir les procès-verbaux des réunions du conseil de gérance.</w:t>
      </w:r>
    </w:p>
    <w:p w14:paraId="3D1AA90B" w14:textId="77777777" w:rsidR="00EC45B1" w:rsidRDefault="00000000">
      <w:pPr>
        <w:pStyle w:val="AoALevel2Article1"/>
        <w:widowControl w:val="0"/>
        <w:numPr>
          <w:ilvl w:val="0"/>
          <w:numId w:val="0"/>
        </w:numPr>
        <w:tabs>
          <w:tab w:val="clear" w:pos="1418"/>
          <w:tab w:val="left" w:pos="993"/>
        </w:tabs>
        <w:spacing w:before="120" w:after="0"/>
        <w:contextualSpacing/>
        <w:rPr>
          <w:b w:val="0"/>
          <w:bCs w:val="0"/>
          <w:lang w:val="fr-FR"/>
        </w:rPr>
      </w:pPr>
      <w:r>
        <w:rPr>
          <w:b w:val="0"/>
          <w:bCs w:val="0"/>
          <w:lang w:val="fr-LU"/>
        </w:rPr>
        <w:t>18.2</w:t>
      </w:r>
      <w:r>
        <w:rPr>
          <w:b w:val="0"/>
          <w:bCs w:val="0"/>
          <w:lang w:val="fr-LU"/>
        </w:rPr>
        <w:tab/>
        <w:t xml:space="preserve">Le président du conseil de gérance, s’il y en a un, préside toutes les réunions du conseil de gérance. En son absence, le conseil de gérance peut nommer provisoirement un autre gérant en qualité de président temporaire par un vote à la majorité des gérants présents ou représentés à la réunion. Le président, le cas échéant, aura voix prépondérante en cas d’égalité.  </w:t>
      </w:r>
    </w:p>
    <w:p w14:paraId="42D3D481" w14:textId="77777777" w:rsidR="00EC45B1" w:rsidRDefault="00000000">
      <w:pPr>
        <w:pStyle w:val="AoALevel2Article1"/>
        <w:widowControl w:val="0"/>
        <w:numPr>
          <w:ilvl w:val="0"/>
          <w:numId w:val="0"/>
        </w:numPr>
        <w:tabs>
          <w:tab w:val="clear" w:pos="1418"/>
          <w:tab w:val="left" w:pos="993"/>
        </w:tabs>
        <w:spacing w:before="120" w:after="0"/>
        <w:contextualSpacing/>
        <w:rPr>
          <w:b w:val="0"/>
          <w:bCs w:val="0"/>
          <w:lang w:val="fr-LU"/>
        </w:rPr>
      </w:pPr>
      <w:r>
        <w:rPr>
          <w:b w:val="0"/>
          <w:bCs w:val="0"/>
          <w:lang w:val="fr-LU"/>
        </w:rPr>
        <w:t>18 .3</w:t>
      </w:r>
      <w:r>
        <w:rPr>
          <w:b w:val="0"/>
          <w:bCs w:val="0"/>
          <w:lang w:val="fr-LU"/>
        </w:rPr>
        <w:tab/>
        <w:t>Tout gérant peut se faire représenter à chaque réunion du conseil de gérance en désignant tout autre gérant comme son mandataire par écrit, ou par télécopie, courrier électronique ou tout autre moyen de communication, une copie du mandat en constituant une preuve suffisante. Un gérant peut représenter un ou plusieurs gérants, mais non la totalité des membres du conseil de gérance.</w:t>
      </w:r>
    </w:p>
    <w:p w14:paraId="538C2A9C" w14:textId="77777777" w:rsidR="00EC45B1" w:rsidRDefault="00000000">
      <w:pPr>
        <w:pStyle w:val="AoALevel2Article1"/>
        <w:widowControl w:val="0"/>
        <w:numPr>
          <w:ilvl w:val="0"/>
          <w:numId w:val="0"/>
        </w:numPr>
        <w:tabs>
          <w:tab w:val="clear" w:pos="1418"/>
          <w:tab w:val="left" w:pos="993"/>
        </w:tabs>
        <w:spacing w:before="120" w:after="0"/>
        <w:contextualSpacing/>
        <w:rPr>
          <w:b w:val="0"/>
          <w:bCs w:val="0"/>
          <w:lang w:val="fr-LU"/>
        </w:rPr>
      </w:pPr>
      <w:r>
        <w:rPr>
          <w:b w:val="0"/>
          <w:bCs w:val="0"/>
          <w:lang w:val="fr-LU"/>
        </w:rPr>
        <w:t>Les réunions du conseil de gérance peuvent également se tenir par conférence téléphonique ou visioconférence ou par tout autre 18.4</w:t>
      </w:r>
      <w:r>
        <w:rPr>
          <w:b w:val="0"/>
          <w:bCs w:val="0"/>
          <w:lang w:val="fr-LU"/>
        </w:rPr>
        <w:tab/>
      </w:r>
      <w:proofErr w:type="gramStart"/>
      <w:r>
        <w:rPr>
          <w:b w:val="0"/>
          <w:bCs w:val="0"/>
          <w:lang w:val="fr-LU"/>
        </w:rPr>
        <w:t>moyen</w:t>
      </w:r>
      <w:proofErr w:type="gramEnd"/>
      <w:r>
        <w:rPr>
          <w:b w:val="0"/>
          <w:bCs w:val="0"/>
          <w:lang w:val="fr-LU"/>
        </w:rPr>
        <w:t xml:space="preserve"> de communication permettant à toutes les personnes y participant de s'entendre mutuellement sans discontinuité et garantissant une participation effective à cette réunion. La participation à une réunion par ces moyens équivaut à une participation en personne et la réunion tenue par de tels moyens de communication est réputée s’être tenue au siège social de la Société.</w:t>
      </w:r>
    </w:p>
    <w:p w14:paraId="434B8308" w14:textId="77777777" w:rsidR="00EC45B1" w:rsidRDefault="00000000">
      <w:pPr>
        <w:pStyle w:val="AoALevel2Article1"/>
        <w:widowControl w:val="0"/>
        <w:numPr>
          <w:ilvl w:val="0"/>
          <w:numId w:val="0"/>
        </w:numPr>
        <w:tabs>
          <w:tab w:val="clear" w:pos="1418"/>
          <w:tab w:val="left" w:pos="993"/>
        </w:tabs>
        <w:spacing w:before="120" w:after="0"/>
        <w:contextualSpacing/>
        <w:rPr>
          <w:b w:val="0"/>
          <w:bCs w:val="0"/>
          <w:lang w:val="fr-LU"/>
        </w:rPr>
      </w:pPr>
      <w:r>
        <w:rPr>
          <w:b w:val="0"/>
          <w:bCs w:val="0"/>
          <w:lang w:val="fr-LU"/>
        </w:rPr>
        <w:t>18.5</w:t>
      </w:r>
      <w:r>
        <w:rPr>
          <w:b w:val="0"/>
          <w:bCs w:val="0"/>
          <w:lang w:val="fr-LU"/>
        </w:rPr>
        <w:tab/>
        <w:t xml:space="preserve">Le conseil de gérance ne peut délibérer ou statuer valablement que si au moins la majorité de ses membres est présente ou représentée à une réunion du conseil de gérance. </w:t>
      </w:r>
    </w:p>
    <w:p w14:paraId="42EE9403" w14:textId="77777777" w:rsidR="00EC45B1" w:rsidRDefault="00000000">
      <w:pPr>
        <w:pStyle w:val="AoALevel2Article1"/>
        <w:widowControl w:val="0"/>
        <w:numPr>
          <w:ilvl w:val="0"/>
          <w:numId w:val="0"/>
        </w:numPr>
        <w:tabs>
          <w:tab w:val="clear" w:pos="1418"/>
          <w:tab w:val="left" w:pos="993"/>
        </w:tabs>
        <w:spacing w:before="120" w:after="0"/>
        <w:contextualSpacing/>
        <w:rPr>
          <w:b w:val="0"/>
          <w:bCs w:val="0"/>
          <w:lang w:val="fr-LU"/>
        </w:rPr>
      </w:pPr>
      <w:r>
        <w:rPr>
          <w:b w:val="0"/>
          <w:bCs w:val="0"/>
          <w:lang w:val="fr-LU"/>
        </w:rPr>
        <w:t>18.6</w:t>
      </w:r>
      <w:r>
        <w:rPr>
          <w:b w:val="0"/>
          <w:bCs w:val="0"/>
          <w:lang w:val="fr-LU"/>
        </w:rPr>
        <w:tab/>
        <w:t xml:space="preserve">Les décisions sont prises à la majorité des voix des gérants présents ou représentés à chaque réunion du conseil de gérance. </w:t>
      </w:r>
    </w:p>
    <w:p w14:paraId="55B10337" w14:textId="77777777" w:rsidR="00EC45B1" w:rsidRDefault="00000000">
      <w:pPr>
        <w:pStyle w:val="AoALevel2Article1"/>
        <w:widowControl w:val="0"/>
        <w:numPr>
          <w:ilvl w:val="0"/>
          <w:numId w:val="0"/>
        </w:numPr>
        <w:tabs>
          <w:tab w:val="clear" w:pos="1418"/>
          <w:tab w:val="left" w:pos="993"/>
        </w:tabs>
        <w:spacing w:before="120" w:after="0"/>
        <w:contextualSpacing/>
        <w:rPr>
          <w:b w:val="0"/>
          <w:bCs w:val="0"/>
          <w:lang w:val="fr-LU"/>
        </w:rPr>
      </w:pPr>
      <w:r>
        <w:rPr>
          <w:b w:val="0"/>
          <w:bCs w:val="0"/>
          <w:lang w:val="fr-LU"/>
        </w:rPr>
        <w:t>18.7</w:t>
      </w:r>
      <w:r>
        <w:rPr>
          <w:b w:val="0"/>
          <w:bCs w:val="0"/>
          <w:lang w:val="fr-LU"/>
        </w:rPr>
        <w:tab/>
        <w:t xml:space="preserve">Le conseil de gérance peut, à l'unanimité, prendre des décisions par résolution circulaire en exprimant son approbation par écrit, par télécopie, par courrier électronique ou par tout autre moyen de communication. Chaque gérant peut exprimer son consentement séparément, l’ensemble des consentements attestant de l'adoption des décisions. La date de ces décisions sera la date de la dernière signature. Les résolutions adoptées </w:t>
      </w:r>
      <w:r>
        <w:rPr>
          <w:b w:val="0"/>
          <w:bCs w:val="0"/>
          <w:lang w:val="fr-LU"/>
        </w:rPr>
        <w:lastRenderedPageBreak/>
        <w:t>seront considérées comme ayant été prises au siège social de la Société.</w:t>
      </w:r>
    </w:p>
    <w:p w14:paraId="02D543CE" w14:textId="77777777" w:rsidR="00EC45B1" w:rsidRDefault="00EC45B1">
      <w:pPr>
        <w:pStyle w:val="AoALevel2Article1"/>
        <w:keepNext w:val="0"/>
        <w:widowControl w:val="0"/>
        <w:numPr>
          <w:ilvl w:val="0"/>
          <w:numId w:val="0"/>
        </w:numPr>
        <w:tabs>
          <w:tab w:val="clear" w:pos="1418"/>
          <w:tab w:val="left" w:pos="993"/>
        </w:tabs>
        <w:spacing w:before="120" w:after="0"/>
        <w:contextualSpacing/>
        <w:rPr>
          <w:lang w:val="fr-LU"/>
        </w:rPr>
      </w:pPr>
    </w:p>
    <w:p w14:paraId="4A96DBC0" w14:textId="77777777" w:rsidR="00EC45B1" w:rsidRDefault="00000000">
      <w:pPr>
        <w:pStyle w:val="AoALevel2Article1"/>
        <w:keepNext w:val="0"/>
        <w:widowControl w:val="0"/>
        <w:numPr>
          <w:ilvl w:val="0"/>
          <w:numId w:val="0"/>
        </w:numPr>
        <w:tabs>
          <w:tab w:val="clear" w:pos="1418"/>
          <w:tab w:val="left" w:pos="993"/>
        </w:tabs>
        <w:spacing w:before="120" w:after="0"/>
        <w:contextualSpacing/>
        <w:rPr>
          <w:lang w:val="fr-FR"/>
        </w:rPr>
      </w:pPr>
      <w:r>
        <w:rPr>
          <w:lang w:val="fr-LU"/>
        </w:rPr>
        <w:t>Article 19</w:t>
      </w:r>
      <w:r>
        <w:rPr>
          <w:lang w:val="fr-LU"/>
        </w:rPr>
        <w:tab/>
      </w:r>
      <w:r>
        <w:rPr>
          <w:lang w:val="fr-LU"/>
        </w:rPr>
        <w:tab/>
        <w:t>Conflit d’intérêts</w:t>
      </w:r>
    </w:p>
    <w:p w14:paraId="18792B26" w14:textId="77777777" w:rsidR="00EC45B1" w:rsidRDefault="00000000">
      <w:pPr>
        <w:pStyle w:val="AoALevel2Article1"/>
        <w:widowControl w:val="0"/>
        <w:numPr>
          <w:ilvl w:val="0"/>
          <w:numId w:val="0"/>
        </w:numPr>
        <w:tabs>
          <w:tab w:val="clear" w:pos="1418"/>
          <w:tab w:val="left" w:pos="993"/>
        </w:tabs>
        <w:spacing w:before="120" w:after="0"/>
        <w:contextualSpacing/>
        <w:rPr>
          <w:b w:val="0"/>
          <w:bCs w:val="0"/>
          <w:lang w:val="fr-FR"/>
        </w:rPr>
      </w:pPr>
      <w:r>
        <w:rPr>
          <w:b w:val="0"/>
          <w:bCs w:val="0"/>
          <w:lang w:val="fr-LU"/>
        </w:rPr>
        <w:t>19.1</w:t>
      </w:r>
      <w:r>
        <w:rPr>
          <w:b w:val="0"/>
          <w:bCs w:val="0"/>
          <w:lang w:val="fr-LU"/>
        </w:rPr>
        <w:tab/>
        <w:t>Sauf dispositions contraires de la Loi, tout gérant qui a, directement ou indirectement, un intérêt de nature patrimoniale opposé à celui de la Société à l’occasion d’une opération relevant du conseil de gérance est tenu d’en prévenir le conseil de gérance et de faire mentionner cette déclaration dans le procès-verbal de la séance</w:t>
      </w:r>
      <w:r>
        <w:rPr>
          <w:b w:val="0"/>
          <w:bCs w:val="0"/>
          <w:lang w:val="fr-BE"/>
        </w:rPr>
        <w:t>.</w:t>
      </w:r>
      <w:r>
        <w:rPr>
          <w:b w:val="0"/>
          <w:bCs w:val="0"/>
          <w:lang w:val="fr-LU"/>
        </w:rPr>
        <w:t xml:space="preserve"> Le gérant concerné ne peut prendre part ni aux discussions relatives à cette opération, ni au vote y afférent. Ce conflit d’intérêts doit également faire l’objet d’un rapport aux associés, lors de la prochaine assemblée générale des associés, et avant toute prise de décision de l’assemblée générale des associés sur tout autre point à l’ordre du jour. </w:t>
      </w:r>
    </w:p>
    <w:p w14:paraId="7B79057A" w14:textId="77777777" w:rsidR="00EC45B1" w:rsidRDefault="00000000">
      <w:pPr>
        <w:pStyle w:val="AoALevel2Article1"/>
        <w:widowControl w:val="0"/>
        <w:numPr>
          <w:ilvl w:val="0"/>
          <w:numId w:val="0"/>
        </w:numPr>
        <w:tabs>
          <w:tab w:val="clear" w:pos="1418"/>
          <w:tab w:val="left" w:pos="993"/>
        </w:tabs>
        <w:spacing w:before="120" w:after="0"/>
        <w:contextualSpacing/>
        <w:rPr>
          <w:b w:val="0"/>
          <w:bCs w:val="0"/>
          <w:lang w:val="fr-FR"/>
        </w:rPr>
      </w:pPr>
      <w:r>
        <w:rPr>
          <w:b w:val="0"/>
          <w:bCs w:val="0"/>
          <w:lang w:val="fr-LU"/>
        </w:rPr>
        <w:t>19.2</w:t>
      </w:r>
      <w:r>
        <w:rPr>
          <w:b w:val="0"/>
          <w:bCs w:val="0"/>
          <w:lang w:val="fr-LU"/>
        </w:rPr>
        <w:tab/>
        <w:t xml:space="preserve">Lorsque la Société comprend un gérant unique, les opérations conclues entre la Société et ce gérant ayant un intérêt opposé à celui de la Société doivent être </w:t>
      </w:r>
      <w:r>
        <w:rPr>
          <w:b w:val="0"/>
          <w:bCs w:val="0"/>
          <w:lang w:val="fr-BE"/>
        </w:rPr>
        <w:t>mentionnées</w:t>
      </w:r>
      <w:r>
        <w:rPr>
          <w:b w:val="0"/>
          <w:bCs w:val="0"/>
          <w:lang w:val="fr-LU"/>
        </w:rPr>
        <w:t xml:space="preserve"> dans la décision du gérant unique. </w:t>
      </w:r>
    </w:p>
    <w:p w14:paraId="6CD40DC2" w14:textId="77777777" w:rsidR="00EC45B1" w:rsidRDefault="00000000">
      <w:pPr>
        <w:pStyle w:val="AoALevel2Article1"/>
        <w:widowControl w:val="0"/>
        <w:numPr>
          <w:ilvl w:val="0"/>
          <w:numId w:val="0"/>
        </w:numPr>
        <w:tabs>
          <w:tab w:val="clear" w:pos="1418"/>
          <w:tab w:val="left" w:pos="993"/>
        </w:tabs>
        <w:spacing w:before="120" w:after="0"/>
        <w:contextualSpacing/>
        <w:rPr>
          <w:b w:val="0"/>
          <w:bCs w:val="0"/>
          <w:lang w:val="fr-FR"/>
        </w:rPr>
      </w:pPr>
      <w:r>
        <w:rPr>
          <w:b w:val="0"/>
          <w:bCs w:val="0"/>
          <w:lang w:val="fr-LU"/>
        </w:rPr>
        <w:t>19.3</w:t>
      </w:r>
      <w:r>
        <w:rPr>
          <w:b w:val="0"/>
          <w:bCs w:val="0"/>
          <w:lang w:val="fr-LU"/>
        </w:rPr>
        <w:tab/>
        <w:t>Lorsqu’en raison d’un conflit d’intérêts, le nombre de gérants requis afin de délibérer valablement n’est pas atteint, le conseil de gérance peut décider de déférer la décision sur ce point spécifique à l’assemblée générale des associés.</w:t>
      </w:r>
    </w:p>
    <w:p w14:paraId="1E20AFCF" w14:textId="77777777" w:rsidR="00EC45B1" w:rsidRDefault="00000000">
      <w:pPr>
        <w:pStyle w:val="AoALevel2Article1"/>
        <w:widowControl w:val="0"/>
        <w:numPr>
          <w:ilvl w:val="0"/>
          <w:numId w:val="0"/>
        </w:numPr>
        <w:tabs>
          <w:tab w:val="clear" w:pos="1418"/>
          <w:tab w:val="left" w:pos="993"/>
        </w:tabs>
        <w:spacing w:before="120" w:after="0"/>
        <w:contextualSpacing/>
        <w:rPr>
          <w:b w:val="0"/>
          <w:bCs w:val="0"/>
          <w:lang w:val="fr-LU"/>
        </w:rPr>
      </w:pPr>
      <w:r>
        <w:rPr>
          <w:b w:val="0"/>
          <w:bCs w:val="0"/>
          <w:lang w:val="fr-LU"/>
        </w:rPr>
        <w:t>19.4</w:t>
      </w:r>
      <w:r>
        <w:rPr>
          <w:b w:val="0"/>
          <w:bCs w:val="0"/>
          <w:lang w:val="fr-LU"/>
        </w:rPr>
        <w:tab/>
        <w:t xml:space="preserve">Les règles régissant le conflit d’intérêts ne s’appliquent pas lorsque la décision du conseil de gérance ou du gérant unique se rapporte à des opérations courantes, conclues dans des conditions normales. </w:t>
      </w:r>
    </w:p>
    <w:p w14:paraId="67055411" w14:textId="77777777" w:rsidR="00EC45B1" w:rsidRDefault="00EC45B1">
      <w:pPr>
        <w:pStyle w:val="AoALevel2Article1"/>
        <w:keepNext w:val="0"/>
        <w:widowControl w:val="0"/>
        <w:numPr>
          <w:ilvl w:val="0"/>
          <w:numId w:val="0"/>
        </w:numPr>
        <w:tabs>
          <w:tab w:val="clear" w:pos="1418"/>
          <w:tab w:val="left" w:pos="993"/>
        </w:tabs>
        <w:spacing w:before="120" w:after="0"/>
        <w:contextualSpacing/>
        <w:rPr>
          <w:lang w:val="fr-LU"/>
        </w:rPr>
      </w:pPr>
    </w:p>
    <w:p w14:paraId="5276EF09" w14:textId="77777777" w:rsidR="00EC45B1" w:rsidRDefault="00000000">
      <w:pPr>
        <w:pStyle w:val="AoALevel2Article1"/>
        <w:keepNext w:val="0"/>
        <w:widowControl w:val="0"/>
        <w:numPr>
          <w:ilvl w:val="0"/>
          <w:numId w:val="0"/>
        </w:numPr>
        <w:tabs>
          <w:tab w:val="clear" w:pos="1418"/>
          <w:tab w:val="left" w:pos="993"/>
        </w:tabs>
        <w:spacing w:before="120" w:after="0"/>
        <w:contextualSpacing/>
        <w:rPr>
          <w:lang w:val="fr-LU"/>
        </w:rPr>
      </w:pPr>
      <w:r>
        <w:rPr>
          <w:lang w:val="fr-LU"/>
        </w:rPr>
        <w:t>Article 20</w:t>
      </w:r>
      <w:r>
        <w:rPr>
          <w:lang w:val="fr-LU"/>
        </w:rPr>
        <w:tab/>
      </w:r>
      <w:r>
        <w:rPr>
          <w:lang w:val="fr-LU"/>
        </w:rPr>
        <w:tab/>
        <w:t>Procès-verbaux des réunions du conseil de gérance / procès-verbaux des décisions du gérant unique</w:t>
      </w:r>
    </w:p>
    <w:p w14:paraId="37BD0476"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20.1</w:t>
      </w:r>
      <w:r>
        <w:rPr>
          <w:lang w:val="fr-LU"/>
        </w:rPr>
        <w:tab/>
        <w:t>Les procès-verbaux de toutes les réunions du conseil de gérance seront signés par (i) le président, s’il y en a un, ou en son absence, par le président temporaire, et le secrétaire (s’il y en a un) ou (ii) par tout gérant.</w:t>
      </w:r>
      <w:r>
        <w:rPr>
          <w:b/>
          <w:lang w:val="fr-LU"/>
        </w:rPr>
        <w:t xml:space="preserve"> </w:t>
      </w:r>
      <w:r>
        <w:rPr>
          <w:lang w:val="fr-LU"/>
        </w:rPr>
        <w:t xml:space="preserve">Les copies ou extraits de ces procès-verbaux qui pourront être produits en justice ou dans tout autre contexte seront signés par le président s’il y en a un ou par tout gérant. </w:t>
      </w:r>
    </w:p>
    <w:p w14:paraId="6960F4B0"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20.2</w:t>
      </w:r>
      <w:r>
        <w:rPr>
          <w:lang w:val="fr-LU"/>
        </w:rPr>
        <w:tab/>
        <w:t xml:space="preserve">Les décisions du gérant unique sont retranscrites dans des procès-verbaux qui seront signés par le gérant unique. Les copies ou extraits de ces procès-verbaux qui pourront être produits en justice ou dans tout autre contexte seront signés par le gérant unique. </w:t>
      </w:r>
    </w:p>
    <w:p w14:paraId="4797EB43" w14:textId="77777777" w:rsidR="00EC45B1" w:rsidRDefault="00000000">
      <w:pPr>
        <w:pStyle w:val="AoALevel2Article1"/>
        <w:keepNext w:val="0"/>
        <w:widowControl w:val="0"/>
        <w:numPr>
          <w:ilvl w:val="0"/>
          <w:numId w:val="0"/>
        </w:numPr>
        <w:tabs>
          <w:tab w:val="clear" w:pos="1418"/>
          <w:tab w:val="left" w:pos="851"/>
        </w:tabs>
        <w:spacing w:before="120" w:after="0"/>
        <w:contextualSpacing/>
        <w:rPr>
          <w:lang w:val="fr-LU"/>
        </w:rPr>
      </w:pPr>
      <w:r>
        <w:rPr>
          <w:lang w:val="fr-LU"/>
        </w:rPr>
        <w:t>Article 21</w:t>
      </w:r>
      <w:r>
        <w:rPr>
          <w:lang w:val="fr-LU"/>
        </w:rPr>
        <w:tab/>
      </w:r>
      <w:r>
        <w:rPr>
          <w:lang w:val="fr-LU"/>
        </w:rPr>
        <w:tab/>
        <w:t>Rapports avec les tiers</w:t>
      </w:r>
    </w:p>
    <w:p w14:paraId="2A2955B0" w14:textId="77777777" w:rsidR="00EC45B1" w:rsidRDefault="00000000">
      <w:pPr>
        <w:widowControl w:val="0"/>
        <w:tabs>
          <w:tab w:val="left" w:pos="1134"/>
        </w:tabs>
        <w:contextualSpacing/>
        <w:jc w:val="both"/>
        <w:rPr>
          <w:rFonts w:cstheme="minorHAnsi"/>
          <w:i/>
          <w:iCs/>
          <w:highlight w:val="cyan"/>
          <w:lang w:val="fr-FR"/>
        </w:rPr>
      </w:pPr>
      <w:r>
        <w:rPr>
          <w:rFonts w:cstheme="minorHAnsi"/>
          <w:i/>
          <w:iCs/>
          <w:highlight w:val="cyan"/>
          <w:lang w:val="fr-FR"/>
        </w:rPr>
        <w:t>Exemple de clause standard :</w:t>
      </w:r>
    </w:p>
    <w:p w14:paraId="0EC90D71" w14:textId="77777777" w:rsidR="00EC45B1" w:rsidRDefault="00000000">
      <w:pPr>
        <w:pStyle w:val="AoALevel3Article11"/>
        <w:widowControl w:val="0"/>
        <w:numPr>
          <w:ilvl w:val="0"/>
          <w:numId w:val="0"/>
        </w:numPr>
        <w:tabs>
          <w:tab w:val="left" w:pos="0"/>
        </w:tabs>
        <w:spacing w:after="0"/>
        <w:ind w:right="20"/>
        <w:contextualSpacing/>
        <w:rPr>
          <w:lang w:val="fr-LU"/>
        </w:rPr>
      </w:pPr>
      <w:r>
        <w:rPr>
          <w:lang w:val="fr-LU"/>
        </w:rPr>
        <w:t>La Société sera valablement engagée à l’égard des tiers en toutes circonstances (i) par</w:t>
      </w:r>
      <w:r>
        <w:rPr>
          <w:rStyle w:val="BodytextBold"/>
          <w:sz w:val="22"/>
          <w:lang w:val="fr-LU"/>
        </w:rPr>
        <w:t xml:space="preserve"> la signature du gérant unique, ou, si la Société a plusieurs gérants, par </w:t>
      </w:r>
      <w:r>
        <w:rPr>
          <w:lang w:val="fr-FR"/>
        </w:rPr>
        <w:t xml:space="preserve">la signature conjointe de deux gérants, ou (ii) la signature conjointe ou la seule signature de </w:t>
      </w:r>
      <w:r>
        <w:rPr>
          <w:lang w:val="fr-LU"/>
        </w:rPr>
        <w:t xml:space="preserve">toutes personnes auxquelles un tel pouvoir de signature aura été délégué par le conseil de gérance, dans les limites de cette délégation. </w:t>
      </w:r>
    </w:p>
    <w:p w14:paraId="52156CFC" w14:textId="77777777" w:rsidR="00EC45B1" w:rsidRDefault="00EC45B1">
      <w:pPr>
        <w:pStyle w:val="AoALevel3Article11"/>
        <w:widowControl w:val="0"/>
        <w:numPr>
          <w:ilvl w:val="0"/>
          <w:numId w:val="0"/>
        </w:numPr>
        <w:tabs>
          <w:tab w:val="left" w:pos="0"/>
        </w:tabs>
        <w:spacing w:after="0"/>
        <w:ind w:right="20"/>
        <w:contextualSpacing/>
        <w:rPr>
          <w:lang w:val="fr-LU"/>
        </w:rPr>
      </w:pPr>
    </w:p>
    <w:p w14:paraId="1B02DD96" w14:textId="77777777" w:rsidR="00EC45B1" w:rsidRDefault="00000000">
      <w:pPr>
        <w:widowControl w:val="0"/>
        <w:tabs>
          <w:tab w:val="left" w:pos="1134"/>
        </w:tabs>
        <w:contextualSpacing/>
        <w:jc w:val="both"/>
        <w:rPr>
          <w:rFonts w:cstheme="minorHAnsi"/>
          <w:i/>
          <w:iCs/>
          <w:highlight w:val="cyan"/>
          <w:lang w:val="fr-FR"/>
        </w:rPr>
      </w:pPr>
      <w:r>
        <w:rPr>
          <w:rFonts w:cstheme="minorHAnsi"/>
          <w:i/>
          <w:iCs/>
          <w:highlight w:val="cyan"/>
          <w:lang w:val="fr-FR"/>
        </w:rPr>
        <w:t>Exemple de clause en fonction de la valeur :</w:t>
      </w:r>
    </w:p>
    <w:p w14:paraId="57FB7565" w14:textId="77777777" w:rsidR="00EC45B1" w:rsidRDefault="00000000">
      <w:pPr>
        <w:pStyle w:val="AoALevel3Article11"/>
        <w:widowControl w:val="0"/>
        <w:numPr>
          <w:ilvl w:val="0"/>
          <w:numId w:val="0"/>
        </w:numPr>
        <w:tabs>
          <w:tab w:val="left" w:pos="0"/>
        </w:tabs>
        <w:spacing w:after="0"/>
        <w:ind w:right="20"/>
        <w:contextualSpacing/>
        <w:rPr>
          <w:lang w:val="fr-LU"/>
        </w:rPr>
      </w:pPr>
      <w:r>
        <w:rPr>
          <w:lang w:val="fr-LU"/>
        </w:rPr>
        <w:t>La Société est engagée par la seule signature d’un gérant pour toute décision ayant une valeur jusqu’à un montant de [</w:t>
      </w:r>
      <w:r>
        <w:rPr>
          <w:highlight w:val="yellow"/>
          <w:lang w:val="fr-LU"/>
        </w:rPr>
        <w:t>montant + devise</w:t>
      </w:r>
      <w:r>
        <w:rPr>
          <w:lang w:val="fr-LU"/>
        </w:rPr>
        <w:t>]. Concernant les décisions ayant une valeur supérieure à [</w:t>
      </w:r>
      <w:r>
        <w:rPr>
          <w:highlight w:val="yellow"/>
          <w:lang w:val="fr-LU"/>
        </w:rPr>
        <w:t>montant + devise</w:t>
      </w:r>
      <w:r>
        <w:rPr>
          <w:lang w:val="fr-LU"/>
        </w:rPr>
        <w:t>], la Société est engagée par les signatures conjointes d’au moins deux gérants en cas de pluralité de gérants.</w:t>
      </w:r>
    </w:p>
    <w:p w14:paraId="64D37C7B" w14:textId="77777777" w:rsidR="00EC45B1" w:rsidRDefault="00000000">
      <w:pPr>
        <w:pStyle w:val="AoALevel1ABC"/>
        <w:keepNext w:val="0"/>
        <w:widowControl w:val="0"/>
        <w:numPr>
          <w:ilvl w:val="0"/>
          <w:numId w:val="101"/>
        </w:numPr>
        <w:pBdr>
          <w:bottom w:val="single" w:sz="6" w:space="4" w:color="1F4E5F"/>
        </w:pBdr>
        <w:tabs>
          <w:tab w:val="clear" w:pos="680"/>
          <w:tab w:val="left" w:pos="284"/>
        </w:tabs>
        <w:spacing w:before="360" w:after="240"/>
        <w:ind w:left="677" w:hanging="677"/>
        <w:contextualSpacing/>
      </w:pPr>
      <w:r>
        <w:t xml:space="preserve">AUDIT ET SURVEILLANCE </w:t>
      </w:r>
    </w:p>
    <w:p w14:paraId="205B5DE4" w14:textId="77777777" w:rsidR="00EC45B1" w:rsidRDefault="00000000">
      <w:pPr>
        <w:pStyle w:val="AoALevel2Article1"/>
        <w:keepNext w:val="0"/>
        <w:widowControl w:val="0"/>
        <w:numPr>
          <w:ilvl w:val="0"/>
          <w:numId w:val="0"/>
        </w:numPr>
        <w:tabs>
          <w:tab w:val="clear" w:pos="1418"/>
          <w:tab w:val="left" w:pos="1134"/>
        </w:tabs>
        <w:spacing w:before="120" w:after="0"/>
        <w:contextualSpacing/>
        <w:rPr>
          <w:lang w:val="fr-LU"/>
        </w:rPr>
      </w:pPr>
      <w:r>
        <w:rPr>
          <w:lang w:val="fr-LU"/>
        </w:rPr>
        <w:t xml:space="preserve">Article 22 </w:t>
      </w:r>
      <w:r>
        <w:rPr>
          <w:lang w:val="fr-LU"/>
        </w:rPr>
        <w:tab/>
      </w:r>
      <w:r>
        <w:rPr>
          <w:lang w:val="fr-LU"/>
        </w:rPr>
        <w:tab/>
        <w:t>Commissaire(s) – Réviseur(s) d'entreprises agréé(s)</w:t>
      </w:r>
    </w:p>
    <w:p w14:paraId="6C2DBA2F"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22.1</w:t>
      </w:r>
      <w:r>
        <w:rPr>
          <w:lang w:val="fr-LU"/>
        </w:rPr>
        <w:tab/>
        <w:t>Dans l’hypothèse où, et tant que la Société comporte plus de soixante (60) associés, les opérations de la Société seront surveillées par un ou plusieurs commissaires.</w:t>
      </w:r>
      <w:r>
        <w:rPr>
          <w:rStyle w:val="BodytextBold"/>
          <w:sz w:val="22"/>
          <w:lang w:val="fr-LU"/>
        </w:rPr>
        <w:t xml:space="preserve"> </w:t>
      </w:r>
      <w:r>
        <w:rPr>
          <w:rStyle w:val="BodytextBold"/>
          <w:b w:val="0"/>
          <w:bCs/>
          <w:sz w:val="22"/>
          <w:lang w:val="fr-LU"/>
        </w:rPr>
        <w:t>L</w:t>
      </w:r>
      <w:r>
        <w:rPr>
          <w:lang w:val="fr-LU"/>
        </w:rPr>
        <w:t>'assemblée générale des associés désigne les commissaires et détermine la durée de leurs fonctions.</w:t>
      </w:r>
    </w:p>
    <w:p w14:paraId="314C8C6B"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22.2</w:t>
      </w:r>
      <w:r>
        <w:rPr>
          <w:lang w:val="fr-LU"/>
        </w:rPr>
        <w:tab/>
        <w:t>Un commissaire pourra être révoqué à tout moment, sans préavis, avec ou sans motif, par l'assemblée générale des associés.</w:t>
      </w:r>
    </w:p>
    <w:p w14:paraId="60B3BBB6"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22.3</w:t>
      </w:r>
      <w:r>
        <w:rPr>
          <w:lang w:val="fr-LU"/>
        </w:rPr>
        <w:tab/>
        <w:t>Le commissaire a un droit illimité de surveillance et de contrôle permanents sur toutes les opérations de la Société.</w:t>
      </w:r>
    </w:p>
    <w:p w14:paraId="6A3522F6"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22.4</w:t>
      </w:r>
      <w:r>
        <w:rPr>
          <w:lang w:val="fr-LU"/>
        </w:rPr>
        <w:tab/>
        <w:t xml:space="preserve">Si les associés de la Société désignent un ou plusieurs réviseurs d'entreprises agréés conformément à l'article 69 de la loi du 19 décembre 2002 concernant le registre de commerce et des sociétés ainsi que </w:t>
      </w:r>
      <w:r>
        <w:rPr>
          <w:lang w:val="fr-LU"/>
        </w:rPr>
        <w:lastRenderedPageBreak/>
        <w:t>la comptabilité et les comptes annuels des entreprises, telle que modifiée, la fonction de commissaire ne sera plus requise.</w:t>
      </w:r>
    </w:p>
    <w:p w14:paraId="138B1C26"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22.5</w:t>
      </w:r>
      <w:r>
        <w:rPr>
          <w:lang w:val="fr-LU"/>
        </w:rPr>
        <w:tab/>
        <w:t>Le réviseur d</w:t>
      </w:r>
      <w:r>
        <w:rPr>
          <w:rStyle w:val="Bodytext11ptBold"/>
          <w:lang w:val="fr-LU"/>
        </w:rPr>
        <w:t>'entreprises</w:t>
      </w:r>
      <w:r>
        <w:rPr>
          <w:b/>
          <w:lang w:val="fr-LU"/>
        </w:rPr>
        <w:t xml:space="preserve"> </w:t>
      </w:r>
      <w:r>
        <w:rPr>
          <w:lang w:val="fr-LU"/>
        </w:rPr>
        <w:t>agréé ne pourra être révoqué par l'assemblée générale des associés que pour juste motif ou avec son accord.</w:t>
      </w:r>
    </w:p>
    <w:p w14:paraId="5AC39D0B" w14:textId="77777777" w:rsidR="00EC45B1" w:rsidRDefault="00000000">
      <w:pPr>
        <w:pStyle w:val="AoALevel1ABC"/>
        <w:keepNext w:val="0"/>
        <w:widowControl w:val="0"/>
        <w:numPr>
          <w:ilvl w:val="0"/>
          <w:numId w:val="102"/>
        </w:numPr>
        <w:pBdr>
          <w:bottom w:val="single" w:sz="6" w:space="4" w:color="1F4E5F"/>
        </w:pBdr>
        <w:tabs>
          <w:tab w:val="clear" w:pos="680"/>
        </w:tabs>
        <w:spacing w:before="360" w:after="240"/>
        <w:ind w:left="288" w:hanging="288"/>
        <w:contextualSpacing/>
        <w:rPr>
          <w:lang w:val="fr-LU"/>
        </w:rPr>
      </w:pPr>
      <w:r>
        <w:rPr>
          <w:lang w:val="fr-LU"/>
        </w:rPr>
        <w:t xml:space="preserve">EXERCICE SOCIAL – COMPTES ANNUELS – AFFECTATION DES BENEFICES – RESERVES - DIVIDENDES </w:t>
      </w:r>
    </w:p>
    <w:p w14:paraId="1D6C9487" w14:textId="77777777" w:rsidR="00EC45B1" w:rsidRDefault="00000000">
      <w:pPr>
        <w:pStyle w:val="AoALevel2Article1"/>
        <w:keepNext w:val="0"/>
        <w:widowControl w:val="0"/>
        <w:numPr>
          <w:ilvl w:val="0"/>
          <w:numId w:val="0"/>
        </w:numPr>
        <w:tabs>
          <w:tab w:val="clear" w:pos="1418"/>
          <w:tab w:val="left" w:pos="1276"/>
        </w:tabs>
        <w:spacing w:before="120" w:after="0"/>
        <w:contextualSpacing/>
        <w:rPr>
          <w:lang w:val="fr-LU"/>
        </w:rPr>
      </w:pPr>
      <w:r>
        <w:rPr>
          <w:lang w:val="fr-LU"/>
        </w:rPr>
        <w:t>Article 23</w:t>
      </w:r>
      <w:r>
        <w:rPr>
          <w:lang w:val="fr-LU"/>
        </w:rPr>
        <w:tab/>
        <w:t>Exercice social</w:t>
      </w:r>
    </w:p>
    <w:p w14:paraId="698AB73D" w14:textId="77777777" w:rsidR="00EC45B1" w:rsidRDefault="00000000">
      <w:pPr>
        <w:widowControl w:val="0"/>
        <w:tabs>
          <w:tab w:val="left" w:pos="284"/>
        </w:tabs>
        <w:ind w:right="20"/>
        <w:contextualSpacing/>
        <w:rPr>
          <w:szCs w:val="22"/>
          <w:lang w:val="fr-LU"/>
        </w:rPr>
      </w:pPr>
      <w:r>
        <w:rPr>
          <w:szCs w:val="22"/>
          <w:lang w:val="fr-LU"/>
        </w:rPr>
        <w:t>L’exercice social de la Société commence le</w:t>
      </w:r>
      <w:r>
        <w:rPr>
          <w:b/>
          <w:szCs w:val="22"/>
          <w:lang w:val="fr-LU"/>
        </w:rPr>
        <w:t xml:space="preserve"> </w:t>
      </w:r>
      <w:r>
        <w:rPr>
          <w:szCs w:val="22"/>
          <w:lang w:val="fr-LU"/>
        </w:rPr>
        <w:t>premier janvier de chaque année et se termine le trente-et-un décembre de la même année.</w:t>
      </w:r>
    </w:p>
    <w:p w14:paraId="09A481D8" w14:textId="77777777" w:rsidR="00EC45B1" w:rsidRDefault="00000000">
      <w:pPr>
        <w:pStyle w:val="AoALevel2Article1"/>
        <w:keepNext w:val="0"/>
        <w:widowControl w:val="0"/>
        <w:numPr>
          <w:ilvl w:val="0"/>
          <w:numId w:val="0"/>
        </w:numPr>
        <w:tabs>
          <w:tab w:val="clear" w:pos="1418"/>
          <w:tab w:val="left" w:pos="1276"/>
        </w:tabs>
        <w:spacing w:before="120" w:after="0"/>
        <w:contextualSpacing/>
        <w:rPr>
          <w:lang w:val="fr-LU"/>
        </w:rPr>
      </w:pPr>
      <w:r>
        <w:rPr>
          <w:lang w:val="fr-LU"/>
        </w:rPr>
        <w:t>Article 24</w:t>
      </w:r>
      <w:r>
        <w:rPr>
          <w:lang w:val="fr-LU"/>
        </w:rPr>
        <w:tab/>
        <w:t>Comptes annuels - Affectation des bénéfices - Réserves</w:t>
      </w:r>
    </w:p>
    <w:p w14:paraId="0715F76A"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24 .1</w:t>
      </w:r>
      <w:r>
        <w:rPr>
          <w:lang w:val="fr-LU"/>
        </w:rPr>
        <w:tab/>
        <w:t>Au terme de chaque exercice social, les comptes sont clôturés et le conseil de gérance dresse un inventaire de l'actif et du passif de la Société, le bilan et le compte de profits et pertes, conformément à la loi.</w:t>
      </w:r>
    </w:p>
    <w:p w14:paraId="70C15CF8"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24.2</w:t>
      </w:r>
      <w:r>
        <w:rPr>
          <w:lang w:val="fr-LU"/>
        </w:rPr>
        <w:tab/>
        <w:t>Sur les bénéfices annuels nets de la Société, cinq pour cent (5%) au moins seront affectés à la réserve légale. Cette affectation cessera d'être obligatoire dès que et tant que le montant total de la réserve légale de la Société atteindra dix pour cent (10%) du capital social de la Société.</w:t>
      </w:r>
    </w:p>
    <w:p w14:paraId="45189087"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24.3</w:t>
      </w:r>
      <w:r>
        <w:rPr>
          <w:lang w:val="fr-LU"/>
        </w:rPr>
        <w:tab/>
        <w:t xml:space="preserve">Les sommes apportées à une réserve de la Société par un associé peuvent également être affectées à la réserve légale si l’associé approuve cette affectation. </w:t>
      </w:r>
    </w:p>
    <w:p w14:paraId="5A6D5D63"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24.4</w:t>
      </w:r>
      <w:r>
        <w:rPr>
          <w:lang w:val="fr-LU"/>
        </w:rPr>
        <w:tab/>
        <w:t>En cas de réduction du capital social, la réserve légale de la Société pourra être réduite en proportion afin qu'elle n'excède pas dix pour cent (10%) du capital social</w:t>
      </w:r>
      <w:r>
        <w:rPr>
          <w:rStyle w:val="BodytextSpacing-1pt"/>
          <w:sz w:val="22"/>
          <w:lang w:val="fr-LU"/>
        </w:rPr>
        <w:t>.</w:t>
      </w:r>
    </w:p>
    <w:p w14:paraId="30A490B5"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24.5</w:t>
      </w:r>
      <w:r>
        <w:rPr>
          <w:lang w:val="fr-LU"/>
        </w:rPr>
        <w:tab/>
        <w:t>Sur proposition du conseil de gérance, l'assemblée générale des associés décide de l’affectation du solde des bénéfices distribuables de la Société conformément à la Loi et aux présents statuts.</w:t>
      </w:r>
    </w:p>
    <w:p w14:paraId="34503F41"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24.6</w:t>
      </w:r>
      <w:r>
        <w:rPr>
          <w:lang w:val="fr-LU"/>
        </w:rPr>
        <w:tab/>
        <w:t>Sauf stipulations écrites contraires, les distributions aux associés sont effectuées en proportion du nombre de parts sociales qu’ils détiennent dans la Société.</w:t>
      </w:r>
    </w:p>
    <w:p w14:paraId="05976FBE" w14:textId="77777777" w:rsidR="00EC45B1" w:rsidRDefault="00000000">
      <w:pPr>
        <w:pStyle w:val="AoALevel2Article1"/>
        <w:keepNext w:val="0"/>
        <w:widowControl w:val="0"/>
        <w:numPr>
          <w:ilvl w:val="0"/>
          <w:numId w:val="0"/>
        </w:numPr>
        <w:tabs>
          <w:tab w:val="clear" w:pos="1418"/>
          <w:tab w:val="left" w:pos="1276"/>
        </w:tabs>
        <w:spacing w:before="120" w:after="0"/>
        <w:contextualSpacing/>
        <w:rPr>
          <w:lang w:val="fr-LU"/>
        </w:rPr>
      </w:pPr>
      <w:r>
        <w:rPr>
          <w:lang w:val="fr-LU"/>
        </w:rPr>
        <w:t>Article 25</w:t>
      </w:r>
      <w:r>
        <w:rPr>
          <w:lang w:val="fr-LU"/>
        </w:rPr>
        <w:tab/>
        <w:t>Dividendes - Prime d'émission et primes assimilées</w:t>
      </w:r>
    </w:p>
    <w:p w14:paraId="1DA6784F" w14:textId="77777777" w:rsidR="00EC45B1" w:rsidRDefault="00000000">
      <w:pPr>
        <w:widowControl w:val="0"/>
        <w:tabs>
          <w:tab w:val="left" w:pos="1134"/>
        </w:tabs>
        <w:contextualSpacing/>
        <w:jc w:val="both"/>
        <w:rPr>
          <w:rFonts w:cstheme="minorHAnsi"/>
          <w:i/>
          <w:iCs/>
          <w:highlight w:val="cyan"/>
          <w:lang w:val="fr-FR"/>
        </w:rPr>
      </w:pPr>
      <w:r>
        <w:rPr>
          <w:rFonts w:cstheme="minorHAnsi"/>
          <w:i/>
          <w:iCs/>
          <w:highlight w:val="cyan"/>
          <w:lang w:val="fr-FR"/>
        </w:rPr>
        <w:t>Clauses standard :</w:t>
      </w:r>
    </w:p>
    <w:p w14:paraId="16622F97"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25.1</w:t>
      </w:r>
      <w:r>
        <w:rPr>
          <w:lang w:val="fr-LU"/>
        </w:rPr>
        <w:tab/>
        <w:t>Le conseil de gérance peut procéder au paiement d’acomptes sur dividendes conformément aux dispositions de la Loi.</w:t>
      </w:r>
    </w:p>
    <w:p w14:paraId="4FC872DF"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25.2</w:t>
      </w:r>
      <w:r>
        <w:rPr>
          <w:lang w:val="fr-LU"/>
        </w:rPr>
        <w:tab/>
        <w:t>La Société peut constituer un compte de prime d’émission sur lequel sera transféré toute prime d’émission payée. Toute prime d’émission, prime assimilée ou réserve distribuable peut être librement distribuée aux associés conformément aux dispositions de la Loi et aux présents statuts. Le(s) associé(s) peut(vent) également décider d’augmenter les réserves de la Société par des apports en capitaux propres en numéraire ou en nature non rémunérés par des titres, compte 115 du plan comptable normalisé luxembourgeois.</w:t>
      </w:r>
    </w:p>
    <w:p w14:paraId="57EBA5A2" w14:textId="77777777" w:rsidR="00EC45B1" w:rsidRDefault="00EC45B1">
      <w:pPr>
        <w:pStyle w:val="AoALevel3Article11"/>
        <w:widowControl w:val="0"/>
        <w:numPr>
          <w:ilvl w:val="0"/>
          <w:numId w:val="0"/>
        </w:numPr>
        <w:spacing w:after="0"/>
        <w:ind w:left="-113"/>
        <w:contextualSpacing/>
        <w:rPr>
          <w:lang w:val="fr-LU"/>
        </w:rPr>
      </w:pPr>
    </w:p>
    <w:p w14:paraId="063E22C7" w14:textId="77777777" w:rsidR="00EC45B1" w:rsidRDefault="00000000">
      <w:pPr>
        <w:widowControl w:val="0"/>
        <w:tabs>
          <w:tab w:val="left" w:pos="1134"/>
        </w:tabs>
        <w:contextualSpacing/>
        <w:jc w:val="both"/>
        <w:rPr>
          <w:rFonts w:cstheme="minorHAnsi"/>
          <w:i/>
          <w:iCs/>
          <w:highlight w:val="cyan"/>
          <w:lang w:val="fr-FR"/>
        </w:rPr>
      </w:pPr>
      <w:r>
        <w:rPr>
          <w:rFonts w:cstheme="minorHAnsi"/>
          <w:i/>
          <w:iCs/>
          <w:highlight w:val="cyan"/>
          <w:lang w:val="fr-FR"/>
        </w:rPr>
        <w:t>Exemple de clauses dans le cas où le capital social comporte des classes de parts :</w:t>
      </w:r>
    </w:p>
    <w:p w14:paraId="18C8E77D"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25.1</w:t>
      </w:r>
      <w:r>
        <w:rPr>
          <w:lang w:val="fr-LU"/>
        </w:rPr>
        <w:tab/>
        <w:t>Si, lors d’un exercice, l’assemblée générale des Associés décide de distribuer des dividendes, sur les profits nets ou les réserves distribuables disponibles résultants de montants placés en réserves, le montant alloué devra être distribué conformément aux priorités suivantes :</w:t>
      </w:r>
    </w:p>
    <w:p w14:paraId="6E656CEA" w14:textId="77777777" w:rsidR="00EC45B1" w:rsidRPr="007F5ECF" w:rsidRDefault="00000000">
      <w:pPr>
        <w:widowControl w:val="0"/>
        <w:ind w:left="900" w:hanging="191"/>
        <w:jc w:val="both"/>
        <w:rPr>
          <w:rFonts w:cstheme="minorHAnsi"/>
          <w:iCs/>
          <w:sz w:val="22"/>
          <w:szCs w:val="22"/>
          <w:lang w:val="fr-LU"/>
        </w:rPr>
      </w:pPr>
      <w:r w:rsidRPr="007F5ECF">
        <w:rPr>
          <w:rFonts w:cstheme="minorHAnsi"/>
          <w:iCs/>
          <w:sz w:val="22"/>
          <w:szCs w:val="22"/>
          <w:lang w:val="fr-LU"/>
        </w:rPr>
        <w:t xml:space="preserve">- Premièrement, les détenteurs des Parts Sociales de Catégorie A sont habilités à recevoir une distribution de dividende préférentiel pour l'exercice en question, à hauteur de neuf pour cent (9%) de la valeur nominale des Parts Sociales de Catégorie A qu'ils détiennent. Le dividende préférentiel des Parts Sociales de Catégorie A </w:t>
      </w:r>
      <w:proofErr w:type="spellStart"/>
      <w:r w:rsidRPr="007F5ECF">
        <w:rPr>
          <w:rFonts w:cstheme="minorHAnsi"/>
          <w:iCs/>
          <w:sz w:val="22"/>
          <w:szCs w:val="22"/>
          <w:lang w:val="fr-LU"/>
        </w:rPr>
        <w:t>a</w:t>
      </w:r>
      <w:proofErr w:type="spellEnd"/>
      <w:r w:rsidRPr="007F5ECF">
        <w:rPr>
          <w:rFonts w:cstheme="minorHAnsi"/>
          <w:iCs/>
          <w:sz w:val="22"/>
          <w:szCs w:val="22"/>
          <w:lang w:val="fr-LU"/>
        </w:rPr>
        <w:t xml:space="preserve"> un rang prioritaire sur toutes les autres catégories de Parts Sociales ; ensuite,</w:t>
      </w:r>
    </w:p>
    <w:p w14:paraId="44104A4A" w14:textId="77777777" w:rsidR="00EC45B1" w:rsidRPr="007F5ECF" w:rsidRDefault="00000000">
      <w:pPr>
        <w:widowControl w:val="0"/>
        <w:ind w:left="900" w:hanging="191"/>
        <w:jc w:val="both"/>
        <w:rPr>
          <w:rFonts w:cstheme="minorHAnsi"/>
          <w:iCs/>
          <w:sz w:val="22"/>
          <w:szCs w:val="22"/>
          <w:lang w:val="fr-LU"/>
        </w:rPr>
      </w:pPr>
      <w:r w:rsidRPr="007F5ECF">
        <w:rPr>
          <w:rFonts w:cstheme="minorHAnsi"/>
          <w:iCs/>
          <w:sz w:val="22"/>
          <w:szCs w:val="22"/>
          <w:lang w:val="fr-LU"/>
        </w:rPr>
        <w:t>- les détenteurs de Parts Sociales de Catégorie B sont habilités à recevoir des distributions de dividendes pour l'exercice en question, à hauteur de huit pour cent (8%) de la valeur nominale des Parts Sociales de Catégorie B qu'ils détiennent. Le dividende préférentiel des Parts Sociales de Catégorie B a un rang inférieur au dividende préférentiel des Parts Sociales de Catégorie A mais a un rang supérieur au dividende préférentiel des Parts Sociales de Catégorie C, D, E, F, G, H, I et J ; ensuite,</w:t>
      </w:r>
    </w:p>
    <w:p w14:paraId="3FFEC755" w14:textId="77777777" w:rsidR="00EC45B1" w:rsidRPr="007F5ECF" w:rsidRDefault="00000000">
      <w:pPr>
        <w:widowControl w:val="0"/>
        <w:ind w:left="900" w:hanging="191"/>
        <w:jc w:val="both"/>
        <w:rPr>
          <w:rFonts w:cstheme="minorHAnsi"/>
          <w:iCs/>
          <w:sz w:val="22"/>
          <w:szCs w:val="22"/>
          <w:lang w:val="fr-LU"/>
        </w:rPr>
      </w:pPr>
      <w:r w:rsidRPr="007F5ECF">
        <w:rPr>
          <w:rFonts w:cstheme="minorHAnsi"/>
          <w:iCs/>
          <w:sz w:val="22"/>
          <w:szCs w:val="22"/>
          <w:lang w:val="fr-LU"/>
        </w:rPr>
        <w:lastRenderedPageBreak/>
        <w:t>- les détenteurs des Parts Sociales de Catégorie C sont habilités à recevoir des distributions de dividendes pour l'exercice en question, à hauteur de sept pour cent (7%) de la valeur nominale des Parts Sociales de Catégorie C qu'ils détiennent. Le dividende préférentiel des Parts Sociales de Catégorie C a un rang inférieur au dividende préférentiel des Parts Sociales de Catégorie A et mais a un rang supérieur au dividende préférentiel des Parts Sociales de Catégorie D, E, F, G, H, I et J ; ensuite,</w:t>
      </w:r>
    </w:p>
    <w:p w14:paraId="2C31E88A" w14:textId="77777777" w:rsidR="00EC45B1" w:rsidRPr="007F5ECF" w:rsidRDefault="00000000">
      <w:pPr>
        <w:widowControl w:val="0"/>
        <w:ind w:left="900" w:hanging="191"/>
        <w:jc w:val="both"/>
        <w:rPr>
          <w:rFonts w:cstheme="minorHAnsi"/>
          <w:iCs/>
          <w:sz w:val="22"/>
          <w:szCs w:val="22"/>
          <w:lang w:val="fr-LU"/>
        </w:rPr>
      </w:pPr>
      <w:r w:rsidRPr="007F5ECF">
        <w:rPr>
          <w:rFonts w:cstheme="minorHAnsi"/>
          <w:iCs/>
          <w:sz w:val="22"/>
          <w:szCs w:val="22"/>
          <w:lang w:val="fr-LU"/>
        </w:rPr>
        <w:t xml:space="preserve">- les détenteurs des Parts Sociales de Catégorie D sont habilités à recevoir des distributions de dividendes pour l'exercice en question, à hauteur de six pour cent (6%) de la valeur nominale des Parts Sociales de Catégorie D qu'ils détiennent. Le dividende préférentiel des Parts Sociales de Catégorie D a un rang inférieur au dividende préférentiel des Parts Sociales de Catégorie A, B et C mais a un rang supérieur au dividende préférentiel des Parts Sociales de Catégorie E, F, G, H, I et </w:t>
      </w:r>
      <w:proofErr w:type="gramStart"/>
      <w:r w:rsidRPr="007F5ECF">
        <w:rPr>
          <w:rFonts w:cstheme="minorHAnsi"/>
          <w:iCs/>
          <w:sz w:val="22"/>
          <w:szCs w:val="22"/>
          <w:lang w:val="fr-LU"/>
        </w:rPr>
        <w:t>J;</w:t>
      </w:r>
      <w:proofErr w:type="gramEnd"/>
      <w:r w:rsidRPr="007F5ECF">
        <w:rPr>
          <w:rFonts w:cstheme="minorHAnsi"/>
          <w:iCs/>
          <w:sz w:val="22"/>
          <w:szCs w:val="22"/>
          <w:lang w:val="fr-LU"/>
        </w:rPr>
        <w:t xml:space="preserve"> ensuite,</w:t>
      </w:r>
    </w:p>
    <w:p w14:paraId="11B2B5C0" w14:textId="77777777" w:rsidR="00EC45B1" w:rsidRPr="007F5ECF" w:rsidRDefault="00000000">
      <w:pPr>
        <w:widowControl w:val="0"/>
        <w:ind w:left="900" w:hanging="191"/>
        <w:jc w:val="both"/>
        <w:rPr>
          <w:rFonts w:cstheme="minorHAnsi"/>
          <w:iCs/>
          <w:sz w:val="22"/>
          <w:szCs w:val="22"/>
          <w:lang w:val="fr-LU"/>
        </w:rPr>
      </w:pPr>
      <w:r w:rsidRPr="007F5ECF">
        <w:rPr>
          <w:rFonts w:cstheme="minorHAnsi"/>
          <w:iCs/>
          <w:sz w:val="22"/>
          <w:szCs w:val="22"/>
          <w:lang w:val="fr-LU"/>
        </w:rPr>
        <w:t xml:space="preserve">- les détenteurs des Parts Sociales de Catégorie E sont habilités à recevoir des distributions de dividendes pour l'exercice en question, à hauteur de cinq pour cent (5%) de la valeur nominale des Parts Sociales de Catégorie E qu'ils détiennent. Le dividende préférentiel des Parts Sociales de Catégorie E a un rang inférieur au dividende préférentiel des Parts Sociales de Catégorie A, B, C et D mais a un rang supérieur au dividende préférentiel des Parts Sociales de Catégorie F, G, H, I et </w:t>
      </w:r>
      <w:proofErr w:type="gramStart"/>
      <w:r w:rsidRPr="007F5ECF">
        <w:rPr>
          <w:rFonts w:cstheme="minorHAnsi"/>
          <w:iCs/>
          <w:sz w:val="22"/>
          <w:szCs w:val="22"/>
          <w:lang w:val="fr-LU"/>
        </w:rPr>
        <w:t>J;</w:t>
      </w:r>
      <w:proofErr w:type="gramEnd"/>
      <w:r w:rsidRPr="007F5ECF">
        <w:rPr>
          <w:rFonts w:cstheme="minorHAnsi"/>
          <w:iCs/>
          <w:sz w:val="22"/>
          <w:szCs w:val="22"/>
          <w:lang w:val="fr-LU"/>
        </w:rPr>
        <w:t xml:space="preserve"> ensuite,</w:t>
      </w:r>
    </w:p>
    <w:p w14:paraId="0FF34265" w14:textId="77777777" w:rsidR="00EC45B1" w:rsidRPr="007F5ECF" w:rsidRDefault="00000000">
      <w:pPr>
        <w:widowControl w:val="0"/>
        <w:ind w:left="900" w:hanging="191"/>
        <w:jc w:val="both"/>
        <w:rPr>
          <w:rFonts w:cstheme="minorHAnsi"/>
          <w:iCs/>
          <w:sz w:val="22"/>
          <w:szCs w:val="22"/>
          <w:lang w:val="fr-LU"/>
        </w:rPr>
      </w:pPr>
      <w:r w:rsidRPr="007F5ECF">
        <w:rPr>
          <w:rFonts w:cstheme="minorHAnsi"/>
          <w:iCs/>
          <w:sz w:val="22"/>
          <w:szCs w:val="22"/>
          <w:lang w:val="fr-LU"/>
        </w:rPr>
        <w:t xml:space="preserve">- les détenteurs des Parts Sociales de Catégorie F sont habilités à recevoir des distributions de dividendes pour l'exercice en question, à hauteur de quatre pour cent (4%) de la valeur nominale des Parts Sociales de Catégorie F qu'ils détiennent. Le dividende préférentiel des Parts Sociales de Catégorie F </w:t>
      </w:r>
      <w:proofErr w:type="spellStart"/>
      <w:r w:rsidRPr="007F5ECF">
        <w:rPr>
          <w:rFonts w:cstheme="minorHAnsi"/>
          <w:iCs/>
          <w:sz w:val="22"/>
          <w:szCs w:val="22"/>
          <w:lang w:val="fr-LU"/>
        </w:rPr>
        <w:t>a</w:t>
      </w:r>
      <w:proofErr w:type="spellEnd"/>
      <w:r w:rsidRPr="007F5ECF">
        <w:rPr>
          <w:rFonts w:cstheme="minorHAnsi"/>
          <w:iCs/>
          <w:sz w:val="22"/>
          <w:szCs w:val="22"/>
          <w:lang w:val="fr-LU"/>
        </w:rPr>
        <w:t xml:space="preserve"> un rang inférieur au dividende préférentiel des Parts Sociales de Catégorie A, B, C, D et E mais a un rang supérieur au dividende préférentiel des Parts Sociales de Catégorie G, H, I et J ; ensuite</w:t>
      </w:r>
    </w:p>
    <w:p w14:paraId="0246E6A6" w14:textId="77777777" w:rsidR="00EC45B1" w:rsidRPr="007F5ECF" w:rsidRDefault="00000000">
      <w:pPr>
        <w:widowControl w:val="0"/>
        <w:ind w:left="900" w:hanging="191"/>
        <w:jc w:val="both"/>
        <w:rPr>
          <w:rFonts w:cstheme="minorHAnsi"/>
          <w:iCs/>
          <w:sz w:val="22"/>
          <w:szCs w:val="22"/>
          <w:lang w:val="fr-LU"/>
        </w:rPr>
      </w:pPr>
      <w:r w:rsidRPr="007F5ECF">
        <w:rPr>
          <w:rFonts w:cstheme="minorHAnsi"/>
          <w:iCs/>
          <w:sz w:val="22"/>
          <w:szCs w:val="22"/>
          <w:lang w:val="fr-LU"/>
        </w:rPr>
        <w:t xml:space="preserve">- les détenteurs des Parts Sociales de Catégorie G sont habilités à recevoir des distributions de dividendes pour l'exercice en question, à hauteur de trois pour cent (3%) de la valeur nominale des Parts Sociales de Catégorie G qu'ils détiennent. Le dividende préférentiel des Parts Sociales de Catégorie G a un rang inférieur au dividende préférentiel des Parts Sociales de Catégorie A, B, C, D, E et F mais a un rang supérieur au dividende préférentiel des Parts Sociales de Catégorie H, I et </w:t>
      </w:r>
      <w:proofErr w:type="gramStart"/>
      <w:r w:rsidRPr="007F5ECF">
        <w:rPr>
          <w:rFonts w:cstheme="minorHAnsi"/>
          <w:iCs/>
          <w:sz w:val="22"/>
          <w:szCs w:val="22"/>
          <w:lang w:val="fr-LU"/>
        </w:rPr>
        <w:t>J;</w:t>
      </w:r>
      <w:proofErr w:type="gramEnd"/>
      <w:r w:rsidRPr="007F5ECF">
        <w:rPr>
          <w:rFonts w:cstheme="minorHAnsi"/>
          <w:iCs/>
          <w:sz w:val="22"/>
          <w:szCs w:val="22"/>
          <w:lang w:val="fr-LU"/>
        </w:rPr>
        <w:t xml:space="preserve"> ensuite</w:t>
      </w:r>
    </w:p>
    <w:p w14:paraId="750B2C7E" w14:textId="77777777" w:rsidR="00EC45B1" w:rsidRPr="007F5ECF" w:rsidRDefault="00000000">
      <w:pPr>
        <w:widowControl w:val="0"/>
        <w:ind w:left="900" w:hanging="191"/>
        <w:jc w:val="both"/>
        <w:rPr>
          <w:rFonts w:cstheme="minorHAnsi"/>
          <w:iCs/>
          <w:sz w:val="22"/>
          <w:szCs w:val="22"/>
          <w:lang w:val="fr-LU"/>
        </w:rPr>
      </w:pPr>
      <w:r w:rsidRPr="007F5ECF">
        <w:rPr>
          <w:rFonts w:cstheme="minorHAnsi"/>
          <w:iCs/>
          <w:sz w:val="22"/>
          <w:szCs w:val="22"/>
          <w:lang w:val="fr-LU"/>
        </w:rPr>
        <w:t xml:space="preserve">- les détenteurs des Parts Sociales de Catégorie H sont habilités à recevoir des distributions de dividendes pour l'exercice en question, à hauteur de deux pour cent (2%) de la valeur nominale des Parts Sociales de Catégorie H qu'ils détiennent. Le dividende préférentiel des Parts Sociales de Catégorie H </w:t>
      </w:r>
      <w:proofErr w:type="spellStart"/>
      <w:r w:rsidRPr="007F5ECF">
        <w:rPr>
          <w:rFonts w:cstheme="minorHAnsi"/>
          <w:iCs/>
          <w:sz w:val="22"/>
          <w:szCs w:val="22"/>
          <w:lang w:val="fr-LU"/>
        </w:rPr>
        <w:t>a</w:t>
      </w:r>
      <w:proofErr w:type="spellEnd"/>
      <w:r w:rsidRPr="007F5ECF">
        <w:rPr>
          <w:rFonts w:cstheme="minorHAnsi"/>
          <w:iCs/>
          <w:sz w:val="22"/>
          <w:szCs w:val="22"/>
          <w:lang w:val="fr-LU"/>
        </w:rPr>
        <w:t xml:space="preserve"> un rang inférieur au dividende préférentiel des Parts Sociales de Catégorie A, B, C, D, E, F et G mais a un rang supérieur au dividende préférentiel des Parts Sociales de Catégorie I et J ; ensuite</w:t>
      </w:r>
    </w:p>
    <w:p w14:paraId="48B6D4D6" w14:textId="77777777" w:rsidR="00EC45B1" w:rsidRPr="007F5ECF" w:rsidRDefault="00000000">
      <w:pPr>
        <w:widowControl w:val="0"/>
        <w:ind w:left="900" w:hanging="191"/>
        <w:jc w:val="both"/>
        <w:rPr>
          <w:rFonts w:cstheme="minorHAnsi"/>
          <w:iCs/>
          <w:sz w:val="22"/>
          <w:szCs w:val="22"/>
          <w:lang w:val="fr-LU"/>
        </w:rPr>
      </w:pPr>
      <w:r w:rsidRPr="007F5ECF">
        <w:rPr>
          <w:rFonts w:cstheme="minorHAnsi"/>
          <w:iCs/>
          <w:sz w:val="22"/>
          <w:szCs w:val="22"/>
          <w:lang w:val="fr-LU"/>
        </w:rPr>
        <w:t>- les détenteurs des Parts Sociales de Catégorie I sont habilités à recevoir des distributions de dividendes pour l'exercice en question, à hauteur d’un pour cent (1%) de la valeur nominale des Parts Sociales de Catégorie I. Le dividende préférentiel des Parts Sociales de Catégorie I a un rang inférieur au dividende préférentiel des Parts Sociales de Catégorie A, B, C, D, E, F, G et H mais a un rang supérieur au dividende des Parts Sociales de Catégorie J.</w:t>
      </w:r>
    </w:p>
    <w:p w14:paraId="290FF846" w14:textId="77777777" w:rsidR="00EC45B1" w:rsidRPr="007F5ECF" w:rsidRDefault="00000000">
      <w:pPr>
        <w:widowControl w:val="0"/>
        <w:ind w:left="450" w:hanging="24"/>
        <w:contextualSpacing/>
        <w:jc w:val="both"/>
        <w:rPr>
          <w:sz w:val="22"/>
          <w:szCs w:val="22"/>
          <w:lang w:val="fr-LU"/>
        </w:rPr>
      </w:pPr>
      <w:r w:rsidRPr="007F5ECF">
        <w:rPr>
          <w:sz w:val="22"/>
          <w:szCs w:val="22"/>
          <w:lang w:val="fr-LU"/>
        </w:rPr>
        <w:t xml:space="preserve">Le solde du montant distribué sera alloué dans son intégralité aux détenteurs de la première catégorie dans l’ordre alphabétique inversé (en premier les Parts Sociales de Catégorie J, puis si aucune Part Sociale de Catégorie </w:t>
      </w:r>
      <w:proofErr w:type="spellStart"/>
      <w:r w:rsidRPr="007F5ECF">
        <w:rPr>
          <w:sz w:val="22"/>
          <w:szCs w:val="22"/>
          <w:lang w:val="fr-LU"/>
        </w:rPr>
        <w:t>J</w:t>
      </w:r>
      <w:proofErr w:type="spellEnd"/>
      <w:r w:rsidRPr="007F5ECF">
        <w:rPr>
          <w:sz w:val="22"/>
          <w:szCs w:val="22"/>
          <w:lang w:val="fr-LU"/>
        </w:rPr>
        <w:t xml:space="preserve"> n’existe, les Parts Sociales de Catégorie I et ainsi de suite). Dans le cas où une catégorie de Parts Sociales devient la première catégorie dans l’ordre alphabétique inversé, son droit à la distribution de dividende sera égal et limité au solde du montant distribué et en termes de priorité, son droit à la distribution aura un rang inférieur au dividende préférentiel des autres catégories de Parts Sociales.</w:t>
      </w:r>
    </w:p>
    <w:p w14:paraId="64B469CC" w14:textId="77777777" w:rsidR="00EC45B1" w:rsidRPr="007F5ECF" w:rsidRDefault="00000000">
      <w:pPr>
        <w:pStyle w:val="AoALevel3Article11"/>
        <w:widowControl w:val="0"/>
        <w:numPr>
          <w:ilvl w:val="0"/>
          <w:numId w:val="0"/>
        </w:numPr>
        <w:tabs>
          <w:tab w:val="left" w:pos="680"/>
        </w:tabs>
        <w:spacing w:after="0"/>
        <w:ind w:left="680" w:hanging="680"/>
        <w:contextualSpacing/>
        <w:rPr>
          <w:lang w:val="fr-LU"/>
        </w:rPr>
      </w:pPr>
      <w:r w:rsidRPr="007F5ECF">
        <w:rPr>
          <w:lang w:val="fr-LU"/>
        </w:rPr>
        <w:t>25.2</w:t>
      </w:r>
      <w:r w:rsidRPr="007F5ECF">
        <w:rPr>
          <w:lang w:val="fr-LU"/>
        </w:rPr>
        <w:tab/>
        <w:t>Les dividendes intérimaires peuvent être payés sur la même base et selon le même ordre de priorité qu’établi dans cet article, sous réserve des dispositions légales applicables (y compris celles de l’article 710-25 de la Loi des Sociétés, telle que modifiée) et des résolutions du conseil de gérance.</w:t>
      </w:r>
    </w:p>
    <w:p w14:paraId="784BA52D" w14:textId="77777777" w:rsidR="00EC45B1" w:rsidRDefault="00000000">
      <w:pPr>
        <w:pStyle w:val="AoALevel1ABC"/>
        <w:keepNext w:val="0"/>
        <w:widowControl w:val="0"/>
        <w:numPr>
          <w:ilvl w:val="0"/>
          <w:numId w:val="103"/>
        </w:numPr>
        <w:pBdr>
          <w:bottom w:val="single" w:sz="6" w:space="4" w:color="1F4E5F"/>
        </w:pBdr>
        <w:tabs>
          <w:tab w:val="clear" w:pos="680"/>
          <w:tab w:val="left" w:pos="426"/>
        </w:tabs>
        <w:spacing w:before="360" w:after="240"/>
        <w:ind w:left="677" w:hanging="677"/>
        <w:contextualSpacing/>
        <w:rPr>
          <w:rStyle w:val="Heading20"/>
          <w:sz w:val="22"/>
          <w:lang w:val="fr-LU"/>
        </w:rPr>
      </w:pPr>
      <w:r>
        <w:rPr>
          <w:lang w:val="fr-LU"/>
        </w:rPr>
        <w:t>LIQUIDATION</w:t>
      </w:r>
    </w:p>
    <w:p w14:paraId="090CA909" w14:textId="77777777" w:rsidR="00EC45B1" w:rsidRDefault="00000000">
      <w:pPr>
        <w:pStyle w:val="AoALevel2Article1"/>
        <w:keepNext w:val="0"/>
        <w:widowControl w:val="0"/>
        <w:numPr>
          <w:ilvl w:val="0"/>
          <w:numId w:val="0"/>
        </w:numPr>
        <w:spacing w:before="120" w:after="0"/>
        <w:contextualSpacing/>
        <w:rPr>
          <w:lang w:val="fr-LU"/>
        </w:rPr>
      </w:pPr>
      <w:r>
        <w:rPr>
          <w:lang w:val="fr-LU"/>
        </w:rPr>
        <w:t>Article 26</w:t>
      </w:r>
      <w:r>
        <w:rPr>
          <w:lang w:val="fr-LU"/>
        </w:rPr>
        <w:tab/>
        <w:t>Liquidation</w:t>
      </w:r>
    </w:p>
    <w:p w14:paraId="45BD7125"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26.1</w:t>
      </w:r>
      <w:r>
        <w:rPr>
          <w:lang w:val="fr-LU"/>
        </w:rPr>
        <w:tab/>
        <w:t xml:space="preserve">En cas de dissolution de la Société, conformément à l’article </w:t>
      </w:r>
      <w:r>
        <w:rPr>
          <w:shd w:val="clear" w:color="auto" w:fill="FFFF00"/>
          <w:lang w:val="fr-LU"/>
        </w:rPr>
        <w:t xml:space="preserve">3.2 </w:t>
      </w:r>
      <w:r>
        <w:rPr>
          <w:lang w:val="fr-LU"/>
        </w:rPr>
        <w:t xml:space="preserve">des présents statuts, la liquidation sera effectuée par un ou plusieurs liquidateurs nommés par l'assemblée générale des associés ayant décidé </w:t>
      </w:r>
      <w:r>
        <w:rPr>
          <w:lang w:val="fr-LU"/>
        </w:rPr>
        <w:lastRenderedPageBreak/>
        <w:t>de cette dissolution et qui fixera les pouvoirs et émoluments de chacun des liquidateurs. Sauf dispositions contraires, les liquidateurs disposeront des pouvoirs les plus étendus pour la réalisation de l’actif et du passif de la Société.</w:t>
      </w:r>
    </w:p>
    <w:p w14:paraId="0FAA7F19" w14:textId="77777777" w:rsidR="00EC45B1" w:rsidRDefault="00000000">
      <w:pPr>
        <w:pStyle w:val="AoALevel3Article11"/>
        <w:widowControl w:val="0"/>
        <w:numPr>
          <w:ilvl w:val="0"/>
          <w:numId w:val="0"/>
        </w:numPr>
        <w:tabs>
          <w:tab w:val="left" w:pos="680"/>
        </w:tabs>
        <w:spacing w:after="0"/>
        <w:ind w:left="680" w:hanging="680"/>
        <w:contextualSpacing/>
        <w:rPr>
          <w:lang w:val="fr-LU"/>
        </w:rPr>
      </w:pPr>
      <w:r>
        <w:rPr>
          <w:lang w:val="fr-LU"/>
        </w:rPr>
        <w:t>26.2</w:t>
      </w:r>
      <w:r>
        <w:rPr>
          <w:lang w:val="fr-LU"/>
        </w:rPr>
        <w:tab/>
        <w:t>Le surplus résultant de la réalisation de l’actif et du passif sera distribué entre les associés au prorata de leur participation.</w:t>
      </w:r>
    </w:p>
    <w:p w14:paraId="1ADA8FB7" w14:textId="77777777" w:rsidR="00EC45B1" w:rsidRDefault="00000000">
      <w:pPr>
        <w:pStyle w:val="AoALevel1ABC"/>
        <w:keepNext w:val="0"/>
        <w:widowControl w:val="0"/>
        <w:numPr>
          <w:ilvl w:val="0"/>
          <w:numId w:val="104"/>
        </w:numPr>
        <w:pBdr>
          <w:bottom w:val="single" w:sz="6" w:space="4" w:color="1F4E5F"/>
        </w:pBdr>
        <w:tabs>
          <w:tab w:val="clear" w:pos="680"/>
          <w:tab w:val="left" w:pos="426"/>
        </w:tabs>
        <w:spacing w:before="360" w:after="240"/>
        <w:ind w:left="677" w:hanging="677"/>
        <w:contextualSpacing/>
        <w:rPr>
          <w:rStyle w:val="Heading20"/>
          <w:sz w:val="22"/>
          <w:lang w:val="fr-LU"/>
        </w:rPr>
      </w:pPr>
      <w:r>
        <w:rPr>
          <w:rStyle w:val="Heading20"/>
          <w:sz w:val="22"/>
          <w:lang w:val="fr-LU"/>
        </w:rPr>
        <w:t xml:space="preserve">definitions </w:t>
      </w:r>
      <w:r>
        <w:rPr>
          <w:rStyle w:val="Heading20"/>
          <w:i/>
          <w:iCs/>
          <w:caps w:val="0"/>
          <w:sz w:val="22"/>
          <w:lang w:val="fr-LU"/>
        </w:rPr>
        <w:t>(</w:t>
      </w:r>
      <w:r>
        <w:rPr>
          <w:rStyle w:val="Heading20"/>
          <w:i/>
          <w:iCs/>
          <w:caps w:val="0"/>
          <w:sz w:val="22"/>
          <w:highlight w:val="cyan"/>
          <w:lang w:val="fr-LU"/>
        </w:rPr>
        <w:t>article optionnel – à inclure dans le cas de capital social avec classes de parts</w:t>
      </w:r>
      <w:r>
        <w:rPr>
          <w:rStyle w:val="Heading20"/>
          <w:i/>
          <w:iCs/>
          <w:caps w:val="0"/>
          <w:sz w:val="22"/>
          <w:lang w:val="fr-LU"/>
        </w:rPr>
        <w:t>)</w:t>
      </w:r>
    </w:p>
    <w:p w14:paraId="4DC82AB5" w14:textId="77777777" w:rsidR="00EC45B1" w:rsidRDefault="00000000">
      <w:pPr>
        <w:pStyle w:val="AoALevel2Article1"/>
        <w:keepNext w:val="0"/>
        <w:widowControl w:val="0"/>
        <w:numPr>
          <w:ilvl w:val="0"/>
          <w:numId w:val="0"/>
        </w:numPr>
        <w:spacing w:before="120" w:after="0"/>
        <w:contextualSpacing/>
        <w:rPr>
          <w:lang w:val="fr-LU"/>
        </w:rPr>
      </w:pPr>
      <w:r>
        <w:rPr>
          <w:lang w:val="fr-LU"/>
        </w:rPr>
        <w:t>Article 27</w:t>
      </w:r>
      <w:r>
        <w:rPr>
          <w:lang w:val="fr-LU"/>
        </w:rPr>
        <w:tab/>
        <w:t>Définitions</w:t>
      </w:r>
    </w:p>
    <w:p w14:paraId="131B49AF" w14:textId="77777777" w:rsidR="00EC45B1" w:rsidRPr="007F5ECF" w:rsidRDefault="00000000">
      <w:pPr>
        <w:widowControl w:val="0"/>
        <w:ind w:left="450"/>
        <w:jc w:val="both"/>
        <w:rPr>
          <w:rFonts w:cstheme="minorHAnsi"/>
          <w:sz w:val="22"/>
          <w:szCs w:val="22"/>
          <w:lang w:val="fr-FR"/>
        </w:rPr>
      </w:pPr>
      <w:r w:rsidRPr="007F5ECF">
        <w:rPr>
          <w:rFonts w:cstheme="minorHAnsi"/>
          <w:b/>
          <w:sz w:val="22"/>
          <w:szCs w:val="22"/>
          <w:lang w:val="fr-FR"/>
        </w:rPr>
        <w:t xml:space="preserve">Catégorie Concernée : </w:t>
      </w:r>
      <w:proofErr w:type="spellStart"/>
      <w:r w:rsidRPr="007F5ECF">
        <w:rPr>
          <w:rFonts w:cstheme="minorHAnsi"/>
          <w:sz w:val="22"/>
          <w:szCs w:val="22"/>
          <w:lang w:val="fr-FR"/>
        </w:rPr>
        <w:t>a</w:t>
      </w:r>
      <w:proofErr w:type="spellEnd"/>
      <w:r w:rsidRPr="007F5ECF">
        <w:rPr>
          <w:rFonts w:cstheme="minorHAnsi"/>
          <w:sz w:val="22"/>
          <w:szCs w:val="22"/>
          <w:lang w:val="fr-FR"/>
        </w:rPr>
        <w:t xml:space="preserve"> la signification donnée à l’article </w:t>
      </w:r>
      <w:r w:rsidRPr="007F5ECF">
        <w:rPr>
          <w:rFonts w:cstheme="minorHAnsi"/>
          <w:sz w:val="22"/>
          <w:szCs w:val="22"/>
          <w:highlight w:val="yellow"/>
          <w:lang w:val="fr-FR"/>
        </w:rPr>
        <w:t>5.4</w:t>
      </w:r>
      <w:r w:rsidRPr="007F5ECF">
        <w:rPr>
          <w:rFonts w:cstheme="minorHAnsi"/>
          <w:sz w:val="22"/>
          <w:szCs w:val="22"/>
          <w:lang w:val="fr-FR"/>
        </w:rPr>
        <w:t>.</w:t>
      </w:r>
    </w:p>
    <w:p w14:paraId="18E66F94" w14:textId="77777777" w:rsidR="00EC45B1" w:rsidRPr="007F5ECF" w:rsidRDefault="00000000">
      <w:pPr>
        <w:widowControl w:val="0"/>
        <w:ind w:left="450"/>
        <w:jc w:val="both"/>
        <w:rPr>
          <w:rFonts w:cstheme="minorHAnsi"/>
          <w:sz w:val="22"/>
          <w:szCs w:val="22"/>
          <w:lang w:val="fr-FR"/>
        </w:rPr>
      </w:pPr>
      <w:r w:rsidRPr="007F5ECF">
        <w:rPr>
          <w:rFonts w:cstheme="minorHAnsi"/>
          <w:b/>
          <w:sz w:val="22"/>
          <w:szCs w:val="22"/>
          <w:lang w:val="fr-FR"/>
        </w:rPr>
        <w:t>Catégorie Concernée Précédente</w:t>
      </w:r>
      <w:r w:rsidRPr="007F5ECF">
        <w:rPr>
          <w:rFonts w:cstheme="minorHAnsi"/>
          <w:sz w:val="22"/>
          <w:szCs w:val="22"/>
          <w:lang w:val="fr-FR"/>
        </w:rPr>
        <w:t> : signifie la catégorie de Parts Sociales dont la lettre alphabétique précède immédiatement, dans l’ordre alphabétique inversé, la lettre de la Catégorie Concernée.</w:t>
      </w:r>
    </w:p>
    <w:p w14:paraId="5B5352A9" w14:textId="77777777" w:rsidR="00EC45B1" w:rsidRPr="007F5ECF" w:rsidRDefault="00000000">
      <w:pPr>
        <w:widowControl w:val="0"/>
        <w:ind w:left="450"/>
        <w:jc w:val="both"/>
        <w:rPr>
          <w:rFonts w:cstheme="minorHAnsi"/>
          <w:b/>
          <w:sz w:val="22"/>
          <w:szCs w:val="22"/>
          <w:lang w:val="fr-FR"/>
        </w:rPr>
      </w:pPr>
      <w:r w:rsidRPr="007F5ECF">
        <w:rPr>
          <w:rFonts w:cstheme="minorHAnsi"/>
          <w:b/>
          <w:sz w:val="22"/>
          <w:szCs w:val="22"/>
          <w:lang w:val="fr-FR"/>
        </w:rPr>
        <w:t>Comptes Intérimaires Concernés</w:t>
      </w:r>
      <w:r w:rsidRPr="007F5ECF">
        <w:rPr>
          <w:rFonts w:cstheme="minorHAnsi"/>
          <w:sz w:val="22"/>
          <w:szCs w:val="22"/>
          <w:lang w:val="fr-FR"/>
        </w:rPr>
        <w:t> : signifie les comptes intérimaires de la Société préparés par le conseil de gérance, toutes les fois à une date pas plus tôt que huit (8) jours avant l’assemblée générale tenue afin d’approuver le rachat et l’annulation des Parts Sociales de la Catégorie Concernée.</w:t>
      </w:r>
    </w:p>
    <w:p w14:paraId="26970BB1" w14:textId="77777777" w:rsidR="00EC45B1" w:rsidRPr="007F5ECF" w:rsidRDefault="00000000">
      <w:pPr>
        <w:widowControl w:val="0"/>
        <w:ind w:left="450"/>
        <w:jc w:val="both"/>
        <w:rPr>
          <w:rFonts w:cstheme="minorHAnsi"/>
          <w:sz w:val="22"/>
          <w:szCs w:val="22"/>
          <w:lang w:val="fr-FR"/>
        </w:rPr>
      </w:pPr>
      <w:r w:rsidRPr="007F5ECF">
        <w:rPr>
          <w:rFonts w:cstheme="minorHAnsi"/>
          <w:b/>
          <w:sz w:val="22"/>
          <w:szCs w:val="22"/>
          <w:lang w:val="fr-FR"/>
        </w:rPr>
        <w:t xml:space="preserve">Jour Ouvrable : </w:t>
      </w:r>
      <w:r w:rsidRPr="007F5ECF">
        <w:rPr>
          <w:rFonts w:cstheme="minorHAnsi"/>
          <w:sz w:val="22"/>
          <w:szCs w:val="22"/>
          <w:lang w:val="fr-FR"/>
        </w:rPr>
        <w:t>signifie un jour (qui n’est pas un samedi, un dimanche ou un jour férié) où les banques sont ouvertes et accessibles aux opérations bancaires automatisées, au Luxembourg.</w:t>
      </w:r>
    </w:p>
    <w:p w14:paraId="0BA8472B" w14:textId="77777777" w:rsidR="00EC45B1" w:rsidRPr="007F5ECF" w:rsidRDefault="00000000">
      <w:pPr>
        <w:widowControl w:val="0"/>
        <w:ind w:left="450"/>
        <w:jc w:val="both"/>
        <w:rPr>
          <w:rFonts w:cstheme="minorHAnsi"/>
          <w:sz w:val="22"/>
          <w:szCs w:val="22"/>
          <w:lang w:val="fr-CH"/>
        </w:rPr>
      </w:pPr>
      <w:r w:rsidRPr="007F5ECF">
        <w:rPr>
          <w:rFonts w:cstheme="minorHAnsi"/>
          <w:b/>
          <w:sz w:val="22"/>
          <w:szCs w:val="22"/>
          <w:lang w:val="fr-CH"/>
        </w:rPr>
        <w:t>Liquidité Disponible :</w:t>
      </w:r>
      <w:r w:rsidRPr="007F5ECF">
        <w:rPr>
          <w:rFonts w:cstheme="minorHAnsi"/>
          <w:sz w:val="22"/>
          <w:szCs w:val="22"/>
          <w:lang w:val="fr-CH"/>
        </w:rPr>
        <w:t xml:space="preserve"> signifie toute la liquidité détenue par la Société (à l’exception de la liquidité en dépôt à terme avec une durée résiduelle de plus de six (6) mois), tout instrument du marché monétaire facilement négociable, toutes obligations et toutes créances qui du point de vue du conseil de gérance seront payés à la Société à court terme, moins l’endettement ou tout autre dette de la Société devant être payée dans moins de six (6) mois déterminés sur base des Comptes Intérimaires Concernés.</w:t>
      </w:r>
    </w:p>
    <w:p w14:paraId="51BEE322" w14:textId="77777777" w:rsidR="00EC45B1" w:rsidRPr="007F5ECF" w:rsidRDefault="00000000">
      <w:pPr>
        <w:widowControl w:val="0"/>
        <w:ind w:left="450"/>
        <w:jc w:val="both"/>
        <w:rPr>
          <w:rFonts w:cstheme="minorHAnsi"/>
          <w:sz w:val="22"/>
          <w:szCs w:val="22"/>
          <w:lang w:val="fr-CH"/>
        </w:rPr>
      </w:pPr>
      <w:r w:rsidRPr="007F5ECF">
        <w:rPr>
          <w:rFonts w:cstheme="minorHAnsi"/>
          <w:b/>
          <w:sz w:val="22"/>
          <w:szCs w:val="22"/>
          <w:lang w:val="fr-CH"/>
        </w:rPr>
        <w:t>Liquidité Disponible par Part Sociale</w:t>
      </w:r>
      <w:r w:rsidRPr="007F5ECF">
        <w:rPr>
          <w:rFonts w:cstheme="minorHAnsi"/>
          <w:sz w:val="22"/>
          <w:szCs w:val="22"/>
          <w:lang w:val="fr-CH"/>
        </w:rPr>
        <w:t> </w:t>
      </w:r>
      <w:r w:rsidRPr="007F5ECF">
        <w:rPr>
          <w:rFonts w:cstheme="minorHAnsi"/>
          <w:b/>
          <w:sz w:val="22"/>
          <w:szCs w:val="22"/>
          <w:lang w:val="fr-CH"/>
        </w:rPr>
        <w:t>:</w:t>
      </w:r>
      <w:r w:rsidRPr="007F5ECF">
        <w:rPr>
          <w:rFonts w:cstheme="minorHAnsi"/>
          <w:sz w:val="22"/>
          <w:szCs w:val="22"/>
          <w:lang w:val="fr-CH"/>
        </w:rPr>
        <w:t xml:space="preserve"> signifie la Liquidité Disponible divisée par le nombre de Parts Sociales comprises dans la Catégorie Concernée.</w:t>
      </w:r>
    </w:p>
    <w:p w14:paraId="231C7721" w14:textId="77777777" w:rsidR="00EC45B1" w:rsidRPr="007F5ECF" w:rsidRDefault="00000000">
      <w:pPr>
        <w:widowControl w:val="0"/>
        <w:ind w:left="450"/>
        <w:jc w:val="both"/>
        <w:rPr>
          <w:rFonts w:cstheme="minorHAnsi"/>
          <w:sz w:val="22"/>
          <w:szCs w:val="22"/>
          <w:lang w:val="fr-CH"/>
        </w:rPr>
      </w:pPr>
      <w:r w:rsidRPr="007F5ECF">
        <w:rPr>
          <w:rFonts w:cstheme="minorHAnsi"/>
          <w:b/>
          <w:sz w:val="22"/>
          <w:szCs w:val="22"/>
          <w:lang w:val="fr-CH"/>
        </w:rPr>
        <w:t>Montant Disponible :</w:t>
      </w:r>
      <w:r w:rsidRPr="007F5ECF">
        <w:rPr>
          <w:rFonts w:cstheme="minorHAnsi"/>
          <w:sz w:val="22"/>
          <w:szCs w:val="22"/>
          <w:lang w:val="fr-CH"/>
        </w:rPr>
        <w:t xml:space="preserve"> signifie, sans double comptage et calculé par le conseil de gérance sur base des Comptes Intérimaires Concernés (A) le montant total des profits nets de la Société (incluant les profits reportés) augmenté de toute réserve librement distribuable mais réduit par (i) toute perte (y compris perte reportée), (ii) toute comme placée dans une réserve conformément aux dispositions légales ou aux Statuts et (iii) le montant de (x) le dividende préférentiel prévu à l’article </w:t>
      </w:r>
      <w:r w:rsidRPr="007F5ECF">
        <w:rPr>
          <w:rFonts w:cstheme="minorHAnsi"/>
          <w:sz w:val="22"/>
          <w:szCs w:val="22"/>
          <w:highlight w:val="yellow"/>
          <w:lang w:val="fr-CH"/>
        </w:rPr>
        <w:t>25</w:t>
      </w:r>
      <w:r w:rsidRPr="007F5ECF">
        <w:rPr>
          <w:rFonts w:cstheme="minorHAnsi"/>
          <w:sz w:val="22"/>
          <w:szCs w:val="22"/>
          <w:lang w:val="fr-CH"/>
        </w:rPr>
        <w:t xml:space="preserve"> devant être alloué à la ou aux catégories de Parts Sociales avec une lettre alphabétique précédent, dans l’ordre alphabétique, la lettre de la Catégorie Concernée, si la Société distribue un dividende en conformité avec l’article </w:t>
      </w:r>
      <w:r w:rsidRPr="007F5ECF">
        <w:rPr>
          <w:rFonts w:cstheme="minorHAnsi"/>
          <w:sz w:val="22"/>
          <w:szCs w:val="22"/>
          <w:highlight w:val="yellow"/>
          <w:lang w:val="fr-CH"/>
        </w:rPr>
        <w:t>25</w:t>
      </w:r>
      <w:r w:rsidRPr="007F5ECF">
        <w:rPr>
          <w:rFonts w:cstheme="minorHAnsi"/>
          <w:sz w:val="22"/>
          <w:szCs w:val="22"/>
          <w:lang w:val="fr-CH"/>
        </w:rPr>
        <w:t xml:space="preserve">, au moment du rachat de la Catégorie Concernée, et (y) tout dividende préférentiel devant être alloué à tout catégorie de Parts Sociales avec une lettre alphabétique précédent celle de la Catégorie Concernée au moment de tout précédent rachat d’une catégorie de Parts Sociales, si la Société distribue un dividende en conformité avec l’article </w:t>
      </w:r>
      <w:r w:rsidRPr="007F5ECF">
        <w:rPr>
          <w:rFonts w:cstheme="minorHAnsi"/>
          <w:sz w:val="22"/>
          <w:szCs w:val="22"/>
          <w:highlight w:val="yellow"/>
          <w:lang w:val="fr-CH"/>
        </w:rPr>
        <w:t>25</w:t>
      </w:r>
      <w:r w:rsidRPr="007F5ECF">
        <w:rPr>
          <w:rFonts w:cstheme="minorHAnsi"/>
          <w:sz w:val="22"/>
          <w:szCs w:val="22"/>
          <w:lang w:val="fr-CH"/>
        </w:rPr>
        <w:t xml:space="preserve">, au moment de ce précédent rachat tel que: </w:t>
      </w:r>
    </w:p>
    <w:p w14:paraId="1612F66C" w14:textId="77777777" w:rsidR="00EC45B1" w:rsidRPr="007F5ECF" w:rsidRDefault="00000000">
      <w:pPr>
        <w:widowControl w:val="0"/>
        <w:ind w:left="720" w:hanging="11"/>
        <w:rPr>
          <w:rFonts w:cstheme="minorHAnsi"/>
          <w:sz w:val="22"/>
          <w:szCs w:val="22"/>
          <w:lang w:val="fr-CH"/>
        </w:rPr>
      </w:pPr>
      <w:r w:rsidRPr="007F5ECF">
        <w:rPr>
          <w:rFonts w:cstheme="minorHAnsi"/>
          <w:sz w:val="22"/>
          <w:szCs w:val="22"/>
          <w:lang w:val="fr-CH"/>
        </w:rPr>
        <w:t xml:space="preserve">MD = (PN + P+ </w:t>
      </w:r>
      <w:proofErr w:type="gramStart"/>
      <w:r w:rsidRPr="007F5ECF">
        <w:rPr>
          <w:rFonts w:cstheme="minorHAnsi"/>
          <w:sz w:val="22"/>
          <w:szCs w:val="22"/>
          <w:lang w:val="fr-CH"/>
        </w:rPr>
        <w:t>RC)-</w:t>
      </w:r>
      <w:proofErr w:type="gramEnd"/>
      <w:r w:rsidRPr="007F5ECF">
        <w:rPr>
          <w:rFonts w:cstheme="minorHAnsi"/>
          <w:sz w:val="22"/>
          <w:szCs w:val="22"/>
          <w:lang w:val="fr-CH"/>
        </w:rPr>
        <w:t xml:space="preserve">(P+ RL) Pour lequel : </w:t>
      </w:r>
      <w:r w:rsidRPr="007F5ECF">
        <w:rPr>
          <w:rFonts w:cstheme="minorHAnsi"/>
          <w:sz w:val="22"/>
          <w:szCs w:val="22"/>
          <w:lang w:val="fr-CH"/>
        </w:rPr>
        <w:br/>
        <w:t xml:space="preserve">MD = Montant Disponible </w:t>
      </w:r>
      <w:r w:rsidRPr="007F5ECF">
        <w:rPr>
          <w:rFonts w:cstheme="minorHAnsi"/>
          <w:sz w:val="22"/>
          <w:szCs w:val="22"/>
          <w:lang w:val="fr-CH"/>
        </w:rPr>
        <w:br/>
        <w:t xml:space="preserve">PN = Profits Nets (incluant les profits reportés) </w:t>
      </w:r>
      <w:r w:rsidRPr="007F5ECF">
        <w:rPr>
          <w:rFonts w:cstheme="minorHAnsi"/>
          <w:sz w:val="22"/>
          <w:szCs w:val="22"/>
          <w:lang w:val="fr-CH"/>
        </w:rPr>
        <w:br/>
        <w:t xml:space="preserve">P = toute prime d'émission librement distribuable et autres réserves librement distribuables </w:t>
      </w:r>
      <w:r w:rsidRPr="007F5ECF">
        <w:rPr>
          <w:rFonts w:cstheme="minorHAnsi"/>
          <w:sz w:val="22"/>
          <w:szCs w:val="22"/>
          <w:lang w:val="fr-CH"/>
        </w:rPr>
        <w:br/>
        <w:t xml:space="preserve">RC = montant de la réduction de capital social et de la réduction de la réserve légale en relation avec la Catégorie de Parts Sociales annulée </w:t>
      </w:r>
      <w:r w:rsidRPr="007F5ECF">
        <w:rPr>
          <w:rFonts w:cstheme="minorHAnsi"/>
          <w:sz w:val="22"/>
          <w:szCs w:val="22"/>
          <w:lang w:val="fr-CH"/>
        </w:rPr>
        <w:br/>
        <w:t xml:space="preserve">P = perte (incluant les pertes reportées) </w:t>
      </w:r>
      <w:r w:rsidRPr="007F5ECF">
        <w:rPr>
          <w:rFonts w:cstheme="minorHAnsi"/>
          <w:sz w:val="22"/>
          <w:szCs w:val="22"/>
          <w:lang w:val="fr-CH"/>
        </w:rPr>
        <w:br/>
        <w:t xml:space="preserve">RL = sommes qui devront être placées en réserve(s) suivant les exigences de la loi ou des Statuts </w:t>
      </w:r>
    </w:p>
    <w:p w14:paraId="70844102" w14:textId="77777777" w:rsidR="00EC45B1" w:rsidRPr="007F5ECF" w:rsidRDefault="00000000">
      <w:pPr>
        <w:widowControl w:val="0"/>
        <w:ind w:firstLine="450"/>
        <w:rPr>
          <w:rFonts w:cstheme="minorHAnsi"/>
          <w:sz w:val="22"/>
          <w:szCs w:val="22"/>
          <w:lang w:val="fr-CH"/>
        </w:rPr>
      </w:pPr>
      <w:r w:rsidRPr="007F5ECF">
        <w:rPr>
          <w:rFonts w:cstheme="minorHAnsi"/>
          <w:b/>
          <w:sz w:val="22"/>
          <w:szCs w:val="22"/>
          <w:lang w:val="fr-CH"/>
        </w:rPr>
        <w:t>Valeur d’Annulation par Part Sociale</w:t>
      </w:r>
      <w:r w:rsidRPr="007F5ECF">
        <w:rPr>
          <w:rFonts w:cstheme="minorHAnsi"/>
          <w:sz w:val="22"/>
          <w:szCs w:val="22"/>
          <w:lang w:val="fr-CH"/>
        </w:rPr>
        <w:t xml:space="preserve"> : </w:t>
      </w:r>
      <w:proofErr w:type="spellStart"/>
      <w:r w:rsidRPr="007F5ECF">
        <w:rPr>
          <w:rFonts w:cstheme="minorHAnsi"/>
          <w:sz w:val="22"/>
          <w:szCs w:val="22"/>
          <w:lang w:val="fr-CH"/>
        </w:rPr>
        <w:t>a</w:t>
      </w:r>
      <w:proofErr w:type="spellEnd"/>
      <w:r w:rsidRPr="007F5ECF">
        <w:rPr>
          <w:rFonts w:cstheme="minorHAnsi"/>
          <w:sz w:val="22"/>
          <w:szCs w:val="22"/>
          <w:lang w:val="fr-CH"/>
        </w:rPr>
        <w:t xml:space="preserve"> la signification donnée à l’article </w:t>
      </w:r>
      <w:r w:rsidRPr="007F5ECF">
        <w:rPr>
          <w:rFonts w:cstheme="minorHAnsi"/>
          <w:sz w:val="22"/>
          <w:szCs w:val="22"/>
          <w:highlight w:val="yellow"/>
          <w:lang w:val="fr-CH"/>
        </w:rPr>
        <w:t>5.4</w:t>
      </w:r>
      <w:r w:rsidRPr="007F5ECF">
        <w:rPr>
          <w:rFonts w:cstheme="minorHAnsi"/>
          <w:sz w:val="22"/>
          <w:szCs w:val="22"/>
          <w:lang w:val="fr-CH"/>
        </w:rPr>
        <w:t>.</w:t>
      </w:r>
    </w:p>
    <w:p w14:paraId="1CBED746" w14:textId="77777777" w:rsidR="00EC45B1" w:rsidRDefault="00000000">
      <w:pPr>
        <w:pStyle w:val="AoALevel1ABC"/>
        <w:keepNext w:val="0"/>
        <w:widowControl w:val="0"/>
        <w:numPr>
          <w:ilvl w:val="0"/>
          <w:numId w:val="105"/>
        </w:numPr>
        <w:pBdr>
          <w:bottom w:val="single" w:sz="6" w:space="4" w:color="1F4E5F"/>
        </w:pBdr>
        <w:tabs>
          <w:tab w:val="clear" w:pos="680"/>
          <w:tab w:val="left" w:pos="426"/>
        </w:tabs>
        <w:spacing w:before="360" w:after="240"/>
        <w:ind w:left="677" w:hanging="677"/>
        <w:contextualSpacing/>
        <w:rPr>
          <w:rStyle w:val="Heading20"/>
          <w:sz w:val="22"/>
          <w:lang w:val="fr-LU"/>
        </w:rPr>
      </w:pPr>
      <w:r>
        <w:rPr>
          <w:rStyle w:val="Heading20"/>
          <w:sz w:val="22"/>
          <w:lang w:val="fr-LU"/>
        </w:rPr>
        <w:t xml:space="preserve">DISPOSITION FINALE </w:t>
      </w:r>
      <w:r>
        <w:rPr>
          <w:lang w:val="fr-LU"/>
        </w:rPr>
        <w:t xml:space="preserve">– </w:t>
      </w:r>
      <w:r>
        <w:rPr>
          <w:rStyle w:val="Heading20"/>
          <w:sz w:val="22"/>
          <w:lang w:val="fr-LU"/>
        </w:rPr>
        <w:t xml:space="preserve">LOI APPLICABLE </w:t>
      </w:r>
    </w:p>
    <w:p w14:paraId="6055617C" w14:textId="77777777" w:rsidR="00EC45B1" w:rsidRDefault="00000000">
      <w:pPr>
        <w:pStyle w:val="AoALevel2Article1"/>
        <w:keepNext w:val="0"/>
        <w:widowControl w:val="0"/>
        <w:numPr>
          <w:ilvl w:val="0"/>
          <w:numId w:val="0"/>
        </w:numPr>
        <w:spacing w:before="120" w:after="0"/>
        <w:contextualSpacing/>
        <w:rPr>
          <w:lang w:val="fr-LU"/>
        </w:rPr>
      </w:pPr>
      <w:r>
        <w:rPr>
          <w:lang w:val="fr-LU"/>
        </w:rPr>
        <w:t>Article 28</w:t>
      </w:r>
      <w:r>
        <w:rPr>
          <w:lang w:val="fr-LU"/>
        </w:rPr>
        <w:tab/>
        <w:t>Loi applicable</w:t>
      </w:r>
    </w:p>
    <w:p w14:paraId="4689AFB5" w14:textId="77777777" w:rsidR="00EC45B1" w:rsidRDefault="00000000">
      <w:pPr>
        <w:widowControl w:val="0"/>
        <w:contextualSpacing/>
        <w:rPr>
          <w:szCs w:val="22"/>
          <w:lang w:val="fr-LU"/>
        </w:rPr>
      </w:pPr>
      <w:r>
        <w:rPr>
          <w:szCs w:val="22"/>
          <w:lang w:val="fr-LU"/>
        </w:rPr>
        <w:t>Tout ce qui n'est pas régi par les présents statuts, sera déterminé en conformité avec la Loi.</w:t>
      </w:r>
    </w:p>
    <w:p w14:paraId="2B268E8B" w14:textId="77777777" w:rsidR="00EC45B1" w:rsidRDefault="00000000">
      <w:pPr>
        <w:pStyle w:val="Title3"/>
        <w:widowControl w:val="0"/>
        <w:spacing w:before="360" w:after="240"/>
        <w:contextualSpacing/>
        <w:rPr>
          <w:caps w:val="0"/>
          <w:szCs w:val="22"/>
          <w:lang w:val="fr-FR"/>
        </w:rPr>
      </w:pPr>
      <w:r>
        <w:rPr>
          <w:caps w:val="0"/>
          <w:szCs w:val="22"/>
          <w:lang w:val="fr-FR"/>
        </w:rPr>
        <w:lastRenderedPageBreak/>
        <w:t>DISPOSITIONS TRANSITOIRES</w:t>
      </w:r>
    </w:p>
    <w:p w14:paraId="01373188" w14:textId="77777777" w:rsidR="00EC45B1" w:rsidRDefault="00000000">
      <w:pPr>
        <w:widowControl w:val="0"/>
        <w:contextualSpacing/>
        <w:jc w:val="both"/>
        <w:rPr>
          <w:szCs w:val="22"/>
          <w:lang w:val="fr-CH"/>
        </w:rPr>
      </w:pPr>
      <w:r>
        <w:rPr>
          <w:szCs w:val="22"/>
          <w:lang w:val="fr-CH"/>
        </w:rPr>
        <w:t>Le premier exercice social commence le jour de la constitution et se termine le [</w:t>
      </w:r>
      <w:r>
        <w:rPr>
          <w:szCs w:val="22"/>
          <w:highlight w:val="yellow"/>
          <w:lang w:val="fr-CH"/>
        </w:rPr>
        <w:t>jour mois année en lettres</w:t>
      </w:r>
      <w:r>
        <w:rPr>
          <w:szCs w:val="22"/>
          <w:lang w:val="fr-CH"/>
        </w:rPr>
        <w:t xml:space="preserve">]. </w:t>
      </w:r>
    </w:p>
    <w:p w14:paraId="3D73E960" w14:textId="77777777" w:rsidR="00EC45B1" w:rsidRDefault="00000000">
      <w:pPr>
        <w:pStyle w:val="Title3"/>
        <w:widowControl w:val="0"/>
        <w:spacing w:before="360" w:after="240"/>
        <w:contextualSpacing/>
        <w:rPr>
          <w:caps w:val="0"/>
          <w:szCs w:val="22"/>
          <w:lang w:val="fr-FR"/>
        </w:rPr>
      </w:pPr>
      <w:r>
        <w:rPr>
          <w:caps w:val="0"/>
          <w:szCs w:val="22"/>
          <w:lang w:val="fr-FR"/>
        </w:rPr>
        <w:t>SOUSCRIPTION – LIBERATION</w:t>
      </w:r>
    </w:p>
    <w:p w14:paraId="22CCDFD8" w14:textId="77777777" w:rsidR="00EC45B1" w:rsidRDefault="00000000">
      <w:pPr>
        <w:pStyle w:val="AoALevel1ABC"/>
        <w:keepNext w:val="0"/>
        <w:widowControl w:val="0"/>
        <w:numPr>
          <w:ilvl w:val="0"/>
          <w:numId w:val="0"/>
        </w:numPr>
        <w:pBdr>
          <w:bottom w:val="single" w:sz="6" w:space="4" w:color="1F4E5F"/>
        </w:pBdr>
        <w:tabs>
          <w:tab w:val="clear" w:pos="680"/>
          <w:tab w:val="left" w:pos="426"/>
        </w:tabs>
        <w:spacing w:before="360" w:after="0"/>
        <w:contextualSpacing/>
        <w:rPr>
          <w:lang w:val="fr-FR"/>
        </w:rPr>
      </w:pPr>
      <w:r>
        <w:rPr>
          <w:rStyle w:val="Heading20"/>
          <w:b w:val="0"/>
          <w:bCs w:val="0"/>
          <w:i/>
          <w:iCs/>
          <w:caps w:val="0"/>
          <w:sz w:val="22"/>
          <w:szCs w:val="22"/>
          <w:highlight w:val="cyan"/>
          <w:u w:val="none"/>
          <w:lang w:val="fr-FR"/>
        </w:rPr>
        <w:t>Clause standard dans le cas où le capital est intégralement libéré à la constitution :</w:t>
      </w:r>
    </w:p>
    <w:p w14:paraId="28B429DA" w14:textId="77777777" w:rsidR="00EC45B1" w:rsidRPr="007F5ECF" w:rsidRDefault="00000000">
      <w:pPr>
        <w:widowControl w:val="0"/>
        <w:contextualSpacing/>
        <w:jc w:val="both"/>
        <w:rPr>
          <w:sz w:val="22"/>
          <w:szCs w:val="24"/>
          <w:lang w:val="fr-FR"/>
        </w:rPr>
      </w:pPr>
      <w:r>
        <w:rPr>
          <w:szCs w:val="22"/>
          <w:lang w:val="fr-FR"/>
        </w:rPr>
        <w:t xml:space="preserve">Les statuts de la Société ayant été ainsi arrêtés, toutes les parts sociales ont été souscrites et intégralement libérées en </w:t>
      </w:r>
      <w:r w:rsidRPr="007F5ECF">
        <w:rPr>
          <w:sz w:val="22"/>
          <w:szCs w:val="24"/>
          <w:lang w:val="fr-FR"/>
        </w:rPr>
        <w:t>valeur nominale par apport en numéraire comme suit (les </w:t>
      </w:r>
      <w:proofErr w:type="gramStart"/>
      <w:r w:rsidRPr="007F5ECF">
        <w:rPr>
          <w:sz w:val="22"/>
          <w:szCs w:val="24"/>
          <w:lang w:val="fr-FR"/>
        </w:rPr>
        <w:t>« </w:t>
      </w:r>
      <w:r w:rsidRPr="007F5ECF">
        <w:rPr>
          <w:b/>
          <w:sz w:val="22"/>
          <w:szCs w:val="24"/>
          <w:lang w:val="fr-FR"/>
        </w:rPr>
        <w:t xml:space="preserve"> Associés</w:t>
      </w:r>
      <w:proofErr w:type="gramEnd"/>
      <w:r w:rsidRPr="007F5ECF">
        <w:rPr>
          <w:sz w:val="22"/>
          <w:szCs w:val="24"/>
          <w:lang w:val="fr-FR"/>
        </w:rPr>
        <w:t> ») :</w:t>
      </w:r>
    </w:p>
    <w:p w14:paraId="22B65582" w14:textId="77777777" w:rsidR="00EC45B1" w:rsidRPr="007F5ECF" w:rsidRDefault="00EC45B1">
      <w:pPr>
        <w:widowControl w:val="0"/>
        <w:contextualSpacing/>
        <w:jc w:val="both"/>
        <w:rPr>
          <w:sz w:val="22"/>
          <w:szCs w:val="24"/>
          <w:lang w:val="fr-FR"/>
        </w:rPr>
      </w:pPr>
    </w:p>
    <w:tbl>
      <w:tblPr>
        <w:tblW w:w="5000" w:type="pct"/>
        <w:tblInd w:w="108" w:type="dxa"/>
        <w:tblLayout w:type="fixed"/>
        <w:tblLook w:val="0000" w:firstRow="0" w:lastRow="0" w:firstColumn="0" w:lastColumn="0" w:noHBand="0" w:noVBand="0"/>
      </w:tblPr>
      <w:tblGrid>
        <w:gridCol w:w="4754"/>
        <w:gridCol w:w="2337"/>
        <w:gridCol w:w="2557"/>
      </w:tblGrid>
      <w:tr w:rsidR="00EC45B1" w:rsidRPr="007F5ECF" w14:paraId="6163FBF0" w14:textId="77777777">
        <w:tc>
          <w:tcPr>
            <w:tcW w:w="4754" w:type="dxa"/>
            <w:tcBorders>
              <w:bottom w:val="single" w:sz="4" w:space="0" w:color="000000"/>
              <w:right w:val="single" w:sz="4" w:space="0" w:color="000000"/>
            </w:tcBorders>
          </w:tcPr>
          <w:p w14:paraId="47FB1060" w14:textId="77777777" w:rsidR="00EC45B1" w:rsidRPr="007F5ECF" w:rsidRDefault="00000000">
            <w:pPr>
              <w:pStyle w:val="Footer"/>
              <w:widowControl w:val="0"/>
              <w:tabs>
                <w:tab w:val="left" w:pos="142"/>
                <w:tab w:val="center" w:pos="2568"/>
              </w:tabs>
              <w:contextualSpacing/>
              <w:rPr>
                <w:sz w:val="22"/>
                <w:szCs w:val="22"/>
                <w:lang w:val="en-GB"/>
              </w:rPr>
            </w:pPr>
            <w:proofErr w:type="spellStart"/>
            <w:r w:rsidRPr="007F5ECF">
              <w:rPr>
                <w:sz w:val="22"/>
                <w:szCs w:val="22"/>
                <w:lang w:val="en-GB"/>
              </w:rPr>
              <w:t>Souscripteur</w:t>
            </w:r>
            <w:proofErr w:type="spellEnd"/>
          </w:p>
        </w:tc>
        <w:tc>
          <w:tcPr>
            <w:tcW w:w="2337" w:type="dxa"/>
            <w:tcBorders>
              <w:left w:val="single" w:sz="4" w:space="0" w:color="000000"/>
              <w:bottom w:val="single" w:sz="4" w:space="0" w:color="000000"/>
              <w:right w:val="single" w:sz="4" w:space="0" w:color="000000"/>
            </w:tcBorders>
          </w:tcPr>
          <w:p w14:paraId="05B01CE7" w14:textId="77777777" w:rsidR="00EC45B1" w:rsidRPr="007F5ECF" w:rsidRDefault="00000000">
            <w:pPr>
              <w:pStyle w:val="Footer"/>
              <w:widowControl w:val="0"/>
              <w:tabs>
                <w:tab w:val="left" w:pos="142"/>
                <w:tab w:val="left" w:pos="5812"/>
              </w:tabs>
              <w:contextualSpacing/>
              <w:jc w:val="right"/>
              <w:rPr>
                <w:sz w:val="22"/>
                <w:szCs w:val="22"/>
                <w:lang w:val="en-GB"/>
              </w:rPr>
            </w:pPr>
            <w:r w:rsidRPr="007F5ECF">
              <w:rPr>
                <w:sz w:val="22"/>
                <w:szCs w:val="22"/>
                <w:lang w:val="en-GB"/>
              </w:rPr>
              <w:t xml:space="preserve">Parts </w:t>
            </w:r>
            <w:proofErr w:type="spellStart"/>
            <w:r w:rsidRPr="007F5ECF">
              <w:rPr>
                <w:sz w:val="22"/>
                <w:szCs w:val="22"/>
                <w:lang w:val="en-GB"/>
              </w:rPr>
              <w:t>sociales</w:t>
            </w:r>
            <w:proofErr w:type="spellEnd"/>
          </w:p>
        </w:tc>
        <w:tc>
          <w:tcPr>
            <w:tcW w:w="2557" w:type="dxa"/>
            <w:tcBorders>
              <w:left w:val="single" w:sz="4" w:space="0" w:color="000000"/>
              <w:bottom w:val="single" w:sz="4" w:space="0" w:color="000000"/>
            </w:tcBorders>
          </w:tcPr>
          <w:p w14:paraId="50517E38" w14:textId="77777777" w:rsidR="00EC45B1" w:rsidRPr="007F5ECF" w:rsidRDefault="00000000">
            <w:pPr>
              <w:pStyle w:val="Footer"/>
              <w:widowControl w:val="0"/>
              <w:tabs>
                <w:tab w:val="left" w:pos="142"/>
                <w:tab w:val="left" w:pos="5812"/>
              </w:tabs>
              <w:contextualSpacing/>
              <w:jc w:val="right"/>
              <w:rPr>
                <w:sz w:val="22"/>
                <w:szCs w:val="22"/>
                <w:lang w:val="en-GB"/>
              </w:rPr>
            </w:pPr>
            <w:r w:rsidRPr="007F5ECF">
              <w:rPr>
                <w:sz w:val="22"/>
                <w:szCs w:val="22"/>
                <w:lang w:val="en-GB"/>
              </w:rPr>
              <w:t>Paiement</w:t>
            </w:r>
          </w:p>
        </w:tc>
      </w:tr>
      <w:tr w:rsidR="00EC45B1" w:rsidRPr="007F5ECF" w14:paraId="0CEE177C" w14:textId="77777777">
        <w:tc>
          <w:tcPr>
            <w:tcW w:w="4754" w:type="dxa"/>
            <w:tcBorders>
              <w:top w:val="single" w:sz="4" w:space="0" w:color="000000"/>
              <w:bottom w:val="single" w:sz="4" w:space="0" w:color="000000"/>
              <w:right w:val="single" w:sz="4" w:space="0" w:color="000000"/>
            </w:tcBorders>
          </w:tcPr>
          <w:p w14:paraId="53C51EF9" w14:textId="77777777" w:rsidR="00EC45B1" w:rsidRPr="007F5ECF" w:rsidRDefault="00000000">
            <w:pPr>
              <w:pStyle w:val="Footer"/>
              <w:widowControl w:val="0"/>
              <w:tabs>
                <w:tab w:val="left" w:pos="0"/>
                <w:tab w:val="left" w:pos="5812"/>
              </w:tabs>
              <w:contextualSpacing/>
              <w:rPr>
                <w:sz w:val="22"/>
                <w:szCs w:val="22"/>
                <w:lang w:val="fr-LU"/>
              </w:rPr>
            </w:pPr>
            <w:r w:rsidRPr="007F5ECF">
              <w:rPr>
                <w:b/>
                <w:sz w:val="22"/>
                <w:szCs w:val="22"/>
                <w:lang w:val="fr-LU"/>
              </w:rPr>
              <w:t>[</w:t>
            </w:r>
            <w:proofErr w:type="gramStart"/>
            <w:r w:rsidRPr="007F5ECF">
              <w:rPr>
                <w:b/>
                <w:sz w:val="22"/>
                <w:szCs w:val="22"/>
                <w:highlight w:val="yellow"/>
                <w:lang w:val="fr-LU"/>
              </w:rPr>
              <w:t>nom</w:t>
            </w:r>
            <w:proofErr w:type="gramEnd"/>
            <w:r w:rsidRPr="007F5ECF">
              <w:rPr>
                <w:b/>
                <w:sz w:val="22"/>
                <w:szCs w:val="22"/>
                <w:highlight w:val="yellow"/>
                <w:lang w:val="fr-LU"/>
              </w:rPr>
              <w:t xml:space="preserve"> de l’associé</w:t>
            </w:r>
            <w:r w:rsidRPr="007F5ECF">
              <w:rPr>
                <w:b/>
                <w:sz w:val="22"/>
                <w:szCs w:val="22"/>
                <w:lang w:val="fr-LU"/>
              </w:rPr>
              <w:t>]</w:t>
            </w:r>
            <w:r w:rsidRPr="007F5ECF">
              <w:rPr>
                <w:sz w:val="22"/>
                <w:szCs w:val="22"/>
                <w:lang w:val="fr-LU"/>
              </w:rPr>
              <w:t xml:space="preserve"> susnommée</w:t>
            </w:r>
          </w:p>
        </w:tc>
        <w:tc>
          <w:tcPr>
            <w:tcW w:w="2337" w:type="dxa"/>
            <w:tcBorders>
              <w:top w:val="single" w:sz="4" w:space="0" w:color="000000"/>
              <w:left w:val="single" w:sz="4" w:space="0" w:color="000000"/>
              <w:bottom w:val="single" w:sz="4" w:space="0" w:color="000000"/>
              <w:right w:val="single" w:sz="4" w:space="0" w:color="000000"/>
            </w:tcBorders>
          </w:tcPr>
          <w:p w14:paraId="4C4208CE" w14:textId="77777777" w:rsidR="00EC45B1" w:rsidRPr="007F5ECF" w:rsidRDefault="00000000">
            <w:pPr>
              <w:pStyle w:val="Footer"/>
              <w:widowControl w:val="0"/>
              <w:tabs>
                <w:tab w:val="left" w:pos="142"/>
                <w:tab w:val="left" w:pos="5812"/>
              </w:tabs>
              <w:contextualSpacing/>
              <w:jc w:val="right"/>
              <w:rPr>
                <w:sz w:val="22"/>
                <w:szCs w:val="22"/>
                <w:lang w:val="en-GB"/>
              </w:rPr>
            </w:pPr>
            <w:r w:rsidRPr="007F5ECF">
              <w:rPr>
                <w:sz w:val="22"/>
                <w:szCs w:val="22"/>
                <w:lang w:val="en-GB"/>
              </w:rPr>
              <w:t>[</w:t>
            </w:r>
            <w:proofErr w:type="spellStart"/>
            <w:r w:rsidRPr="007F5ECF">
              <w:rPr>
                <w:sz w:val="22"/>
                <w:szCs w:val="22"/>
                <w:highlight w:val="yellow"/>
                <w:lang w:val="en-GB"/>
              </w:rPr>
              <w:t>quantité</w:t>
            </w:r>
            <w:proofErr w:type="spellEnd"/>
            <w:r w:rsidRPr="007F5ECF">
              <w:rPr>
                <w:sz w:val="22"/>
                <w:szCs w:val="22"/>
                <w:lang w:val="en-GB"/>
              </w:rPr>
              <w:t>]</w:t>
            </w:r>
          </w:p>
        </w:tc>
        <w:tc>
          <w:tcPr>
            <w:tcW w:w="2557" w:type="dxa"/>
            <w:tcBorders>
              <w:top w:val="single" w:sz="4" w:space="0" w:color="000000"/>
              <w:left w:val="single" w:sz="4" w:space="0" w:color="000000"/>
              <w:bottom w:val="single" w:sz="4" w:space="0" w:color="000000"/>
            </w:tcBorders>
          </w:tcPr>
          <w:p w14:paraId="1C589237" w14:textId="77777777" w:rsidR="00EC45B1" w:rsidRPr="007F5ECF" w:rsidRDefault="00000000">
            <w:pPr>
              <w:pStyle w:val="Footer"/>
              <w:widowControl w:val="0"/>
              <w:tabs>
                <w:tab w:val="left" w:pos="142"/>
                <w:tab w:val="left" w:pos="5812"/>
              </w:tabs>
              <w:contextualSpacing/>
              <w:jc w:val="right"/>
              <w:rPr>
                <w:sz w:val="22"/>
                <w:szCs w:val="22"/>
                <w:lang w:val="en-GB"/>
              </w:rPr>
            </w:pPr>
            <w:r w:rsidRPr="007F5ECF">
              <w:rPr>
                <w:sz w:val="22"/>
                <w:szCs w:val="22"/>
                <w:lang w:val="en-GB"/>
              </w:rPr>
              <w:t>[</w:t>
            </w:r>
            <w:r w:rsidRPr="007F5ECF">
              <w:rPr>
                <w:sz w:val="22"/>
                <w:szCs w:val="22"/>
                <w:highlight w:val="yellow"/>
                <w:lang w:val="en-GB"/>
              </w:rPr>
              <w:t xml:space="preserve">devise + </w:t>
            </w:r>
            <w:proofErr w:type="spellStart"/>
            <w:r w:rsidRPr="007F5ECF">
              <w:rPr>
                <w:sz w:val="22"/>
                <w:szCs w:val="22"/>
                <w:highlight w:val="yellow"/>
                <w:lang w:val="en-GB"/>
              </w:rPr>
              <w:t>montant</w:t>
            </w:r>
            <w:proofErr w:type="spellEnd"/>
            <w:r w:rsidRPr="007F5ECF">
              <w:rPr>
                <w:sz w:val="22"/>
                <w:szCs w:val="22"/>
                <w:lang w:val="en-GB"/>
              </w:rPr>
              <w:t>]</w:t>
            </w:r>
          </w:p>
        </w:tc>
      </w:tr>
      <w:tr w:rsidR="00EC45B1" w:rsidRPr="007F5ECF" w14:paraId="3EE55039" w14:textId="77777777">
        <w:tc>
          <w:tcPr>
            <w:tcW w:w="4754" w:type="dxa"/>
            <w:tcBorders>
              <w:top w:val="single" w:sz="4" w:space="0" w:color="000000"/>
              <w:bottom w:val="single" w:sz="4" w:space="0" w:color="000000"/>
              <w:right w:val="single" w:sz="4" w:space="0" w:color="000000"/>
            </w:tcBorders>
          </w:tcPr>
          <w:p w14:paraId="250798CF" w14:textId="77777777" w:rsidR="00EC45B1" w:rsidRPr="007F5ECF" w:rsidRDefault="00000000">
            <w:pPr>
              <w:pStyle w:val="Footer"/>
              <w:widowControl w:val="0"/>
              <w:tabs>
                <w:tab w:val="left" w:pos="0"/>
                <w:tab w:val="left" w:pos="5812"/>
              </w:tabs>
              <w:contextualSpacing/>
              <w:rPr>
                <w:b/>
                <w:sz w:val="22"/>
                <w:szCs w:val="22"/>
                <w:lang w:val="fr-CH"/>
              </w:rPr>
            </w:pPr>
            <w:r w:rsidRPr="007F5ECF">
              <w:rPr>
                <w:b/>
                <w:sz w:val="22"/>
                <w:szCs w:val="22"/>
                <w:lang w:val="fr-LU"/>
              </w:rPr>
              <w:t>[</w:t>
            </w:r>
            <w:proofErr w:type="gramStart"/>
            <w:r w:rsidRPr="007F5ECF">
              <w:rPr>
                <w:b/>
                <w:sz w:val="22"/>
                <w:szCs w:val="22"/>
                <w:highlight w:val="yellow"/>
                <w:lang w:val="fr-LU"/>
              </w:rPr>
              <w:t>nom</w:t>
            </w:r>
            <w:proofErr w:type="gramEnd"/>
            <w:r w:rsidRPr="007F5ECF">
              <w:rPr>
                <w:b/>
                <w:sz w:val="22"/>
                <w:szCs w:val="22"/>
                <w:highlight w:val="yellow"/>
                <w:lang w:val="fr-LU"/>
              </w:rPr>
              <w:t xml:space="preserve"> de </w:t>
            </w:r>
            <w:proofErr w:type="gramStart"/>
            <w:r w:rsidRPr="007F5ECF">
              <w:rPr>
                <w:b/>
                <w:sz w:val="22"/>
                <w:szCs w:val="22"/>
                <w:highlight w:val="yellow"/>
                <w:lang w:val="fr-LU"/>
              </w:rPr>
              <w:t>l’associé</w:t>
            </w:r>
            <w:r w:rsidRPr="007F5ECF">
              <w:rPr>
                <w:b/>
                <w:sz w:val="22"/>
                <w:szCs w:val="22"/>
                <w:lang w:val="fr-LU"/>
              </w:rPr>
              <w:t>]</w:t>
            </w:r>
            <w:r w:rsidRPr="007F5ECF">
              <w:rPr>
                <w:sz w:val="22"/>
                <w:szCs w:val="22"/>
                <w:lang w:val="fr-LU"/>
              </w:rPr>
              <w:t xml:space="preserve"> </w:t>
            </w:r>
            <w:r w:rsidRPr="007F5ECF">
              <w:rPr>
                <w:sz w:val="22"/>
                <w:szCs w:val="22"/>
                <w:lang w:val="fr-CH"/>
              </w:rPr>
              <w:t xml:space="preserve"> susnommée</w:t>
            </w:r>
            <w:proofErr w:type="gramEnd"/>
          </w:p>
        </w:tc>
        <w:tc>
          <w:tcPr>
            <w:tcW w:w="2337" w:type="dxa"/>
            <w:tcBorders>
              <w:top w:val="single" w:sz="4" w:space="0" w:color="000000"/>
              <w:left w:val="single" w:sz="4" w:space="0" w:color="000000"/>
              <w:bottom w:val="single" w:sz="4" w:space="0" w:color="000000"/>
              <w:right w:val="single" w:sz="4" w:space="0" w:color="000000"/>
            </w:tcBorders>
          </w:tcPr>
          <w:p w14:paraId="2F7E0FD9" w14:textId="77777777" w:rsidR="00EC45B1" w:rsidRPr="007F5ECF" w:rsidRDefault="00000000">
            <w:pPr>
              <w:pStyle w:val="Footer"/>
              <w:widowControl w:val="0"/>
              <w:tabs>
                <w:tab w:val="left" w:pos="142"/>
                <w:tab w:val="left" w:pos="5812"/>
              </w:tabs>
              <w:contextualSpacing/>
              <w:jc w:val="right"/>
              <w:rPr>
                <w:sz w:val="22"/>
                <w:szCs w:val="22"/>
                <w:lang w:val="fr-CH"/>
              </w:rPr>
            </w:pPr>
            <w:r w:rsidRPr="007F5ECF">
              <w:rPr>
                <w:sz w:val="22"/>
                <w:szCs w:val="22"/>
                <w:lang w:val="en-GB"/>
              </w:rPr>
              <w:t>[</w:t>
            </w:r>
            <w:proofErr w:type="spellStart"/>
            <w:r w:rsidRPr="007F5ECF">
              <w:rPr>
                <w:sz w:val="22"/>
                <w:szCs w:val="22"/>
                <w:highlight w:val="yellow"/>
                <w:lang w:val="en-GB"/>
              </w:rPr>
              <w:t>quantité</w:t>
            </w:r>
            <w:proofErr w:type="spellEnd"/>
            <w:r w:rsidRPr="007F5ECF">
              <w:rPr>
                <w:sz w:val="22"/>
                <w:szCs w:val="22"/>
                <w:lang w:val="en-GB"/>
              </w:rPr>
              <w:t>]</w:t>
            </w:r>
          </w:p>
        </w:tc>
        <w:tc>
          <w:tcPr>
            <w:tcW w:w="2557" w:type="dxa"/>
            <w:tcBorders>
              <w:top w:val="single" w:sz="4" w:space="0" w:color="000000"/>
              <w:left w:val="single" w:sz="4" w:space="0" w:color="000000"/>
              <w:bottom w:val="single" w:sz="4" w:space="0" w:color="000000"/>
            </w:tcBorders>
          </w:tcPr>
          <w:p w14:paraId="1232B8B9" w14:textId="77777777" w:rsidR="00EC45B1" w:rsidRPr="007F5ECF" w:rsidRDefault="00000000">
            <w:pPr>
              <w:pStyle w:val="Footer"/>
              <w:widowControl w:val="0"/>
              <w:tabs>
                <w:tab w:val="left" w:pos="142"/>
                <w:tab w:val="left" w:pos="5812"/>
              </w:tabs>
              <w:contextualSpacing/>
              <w:jc w:val="right"/>
              <w:rPr>
                <w:sz w:val="22"/>
                <w:szCs w:val="22"/>
                <w:lang w:val="fr-CH"/>
              </w:rPr>
            </w:pPr>
            <w:r w:rsidRPr="007F5ECF">
              <w:rPr>
                <w:sz w:val="22"/>
                <w:szCs w:val="22"/>
                <w:lang w:val="en-GB"/>
              </w:rPr>
              <w:t>[</w:t>
            </w:r>
            <w:r w:rsidRPr="007F5ECF">
              <w:rPr>
                <w:sz w:val="22"/>
                <w:szCs w:val="22"/>
                <w:highlight w:val="yellow"/>
                <w:lang w:val="en-GB"/>
              </w:rPr>
              <w:t xml:space="preserve">devise + </w:t>
            </w:r>
            <w:proofErr w:type="spellStart"/>
            <w:r w:rsidRPr="007F5ECF">
              <w:rPr>
                <w:sz w:val="22"/>
                <w:szCs w:val="22"/>
                <w:highlight w:val="yellow"/>
                <w:lang w:val="en-GB"/>
              </w:rPr>
              <w:t>montant</w:t>
            </w:r>
            <w:proofErr w:type="spellEnd"/>
            <w:r w:rsidRPr="007F5ECF">
              <w:rPr>
                <w:sz w:val="22"/>
                <w:szCs w:val="22"/>
                <w:lang w:val="en-GB"/>
              </w:rPr>
              <w:t>]</w:t>
            </w:r>
          </w:p>
        </w:tc>
      </w:tr>
      <w:tr w:rsidR="00EC45B1" w:rsidRPr="007F5ECF" w14:paraId="0A483958" w14:textId="77777777">
        <w:tc>
          <w:tcPr>
            <w:tcW w:w="4754" w:type="dxa"/>
            <w:tcBorders>
              <w:top w:val="single" w:sz="4" w:space="0" w:color="000000"/>
              <w:bottom w:val="single" w:sz="4" w:space="0" w:color="000000"/>
              <w:right w:val="single" w:sz="4" w:space="0" w:color="000000"/>
            </w:tcBorders>
          </w:tcPr>
          <w:p w14:paraId="7E436B54" w14:textId="77777777" w:rsidR="00EC45B1" w:rsidRPr="007F5ECF" w:rsidRDefault="00000000">
            <w:pPr>
              <w:pStyle w:val="Footer"/>
              <w:widowControl w:val="0"/>
              <w:tabs>
                <w:tab w:val="left" w:pos="0"/>
                <w:tab w:val="left" w:pos="5812"/>
              </w:tabs>
              <w:contextualSpacing/>
              <w:rPr>
                <w:b/>
                <w:sz w:val="22"/>
                <w:szCs w:val="22"/>
              </w:rPr>
            </w:pPr>
            <w:r w:rsidRPr="007F5ECF">
              <w:rPr>
                <w:b/>
                <w:sz w:val="22"/>
                <w:szCs w:val="22"/>
                <w:lang w:val="fr-LU"/>
              </w:rPr>
              <w:t>[</w:t>
            </w:r>
            <w:proofErr w:type="gramStart"/>
            <w:r w:rsidRPr="007F5ECF">
              <w:rPr>
                <w:b/>
                <w:sz w:val="22"/>
                <w:szCs w:val="22"/>
                <w:highlight w:val="yellow"/>
                <w:lang w:val="fr-LU"/>
              </w:rPr>
              <w:t>nom</w:t>
            </w:r>
            <w:proofErr w:type="gramEnd"/>
            <w:r w:rsidRPr="007F5ECF">
              <w:rPr>
                <w:b/>
                <w:sz w:val="22"/>
                <w:szCs w:val="22"/>
                <w:highlight w:val="yellow"/>
                <w:lang w:val="fr-LU"/>
              </w:rPr>
              <w:t xml:space="preserve"> de </w:t>
            </w:r>
            <w:proofErr w:type="gramStart"/>
            <w:r w:rsidRPr="007F5ECF">
              <w:rPr>
                <w:b/>
                <w:sz w:val="22"/>
                <w:szCs w:val="22"/>
                <w:highlight w:val="yellow"/>
                <w:lang w:val="fr-LU"/>
              </w:rPr>
              <w:t>l’associé</w:t>
            </w:r>
            <w:r w:rsidRPr="007F5ECF">
              <w:rPr>
                <w:b/>
                <w:sz w:val="22"/>
                <w:szCs w:val="22"/>
                <w:lang w:val="fr-LU"/>
              </w:rPr>
              <w:t>]</w:t>
            </w:r>
            <w:r w:rsidRPr="007F5ECF">
              <w:rPr>
                <w:sz w:val="22"/>
                <w:szCs w:val="22"/>
                <w:lang w:val="fr-LU"/>
              </w:rPr>
              <w:t xml:space="preserve"> </w:t>
            </w:r>
            <w:r w:rsidRPr="007F5ECF">
              <w:rPr>
                <w:sz w:val="22"/>
                <w:szCs w:val="22"/>
              </w:rPr>
              <w:t xml:space="preserve"> </w:t>
            </w:r>
            <w:proofErr w:type="spellStart"/>
            <w:r w:rsidRPr="007F5ECF">
              <w:rPr>
                <w:sz w:val="22"/>
                <w:szCs w:val="22"/>
              </w:rPr>
              <w:t>susnommée</w:t>
            </w:r>
            <w:proofErr w:type="spellEnd"/>
            <w:proofErr w:type="gramEnd"/>
          </w:p>
        </w:tc>
        <w:tc>
          <w:tcPr>
            <w:tcW w:w="2337" w:type="dxa"/>
            <w:tcBorders>
              <w:top w:val="single" w:sz="4" w:space="0" w:color="000000"/>
              <w:left w:val="single" w:sz="4" w:space="0" w:color="000000"/>
              <w:bottom w:val="single" w:sz="4" w:space="0" w:color="000000"/>
              <w:right w:val="single" w:sz="4" w:space="0" w:color="000000"/>
            </w:tcBorders>
          </w:tcPr>
          <w:p w14:paraId="7B79606F" w14:textId="77777777" w:rsidR="00EC45B1" w:rsidRPr="007F5ECF" w:rsidRDefault="00000000">
            <w:pPr>
              <w:pStyle w:val="Footer"/>
              <w:widowControl w:val="0"/>
              <w:tabs>
                <w:tab w:val="left" w:pos="142"/>
                <w:tab w:val="left" w:pos="5812"/>
              </w:tabs>
              <w:contextualSpacing/>
              <w:jc w:val="right"/>
              <w:rPr>
                <w:sz w:val="22"/>
                <w:szCs w:val="22"/>
                <w:lang w:val="en-GB"/>
              </w:rPr>
            </w:pPr>
            <w:r w:rsidRPr="007F5ECF">
              <w:rPr>
                <w:sz w:val="22"/>
                <w:szCs w:val="22"/>
                <w:lang w:val="en-GB"/>
              </w:rPr>
              <w:t>[</w:t>
            </w:r>
            <w:proofErr w:type="spellStart"/>
            <w:r w:rsidRPr="007F5ECF">
              <w:rPr>
                <w:sz w:val="22"/>
                <w:szCs w:val="22"/>
                <w:highlight w:val="yellow"/>
                <w:lang w:val="en-GB"/>
              </w:rPr>
              <w:t>quantité</w:t>
            </w:r>
            <w:proofErr w:type="spellEnd"/>
            <w:r w:rsidRPr="007F5ECF">
              <w:rPr>
                <w:sz w:val="22"/>
                <w:szCs w:val="22"/>
                <w:lang w:val="en-GB"/>
              </w:rPr>
              <w:t>]</w:t>
            </w:r>
          </w:p>
        </w:tc>
        <w:tc>
          <w:tcPr>
            <w:tcW w:w="2557" w:type="dxa"/>
            <w:tcBorders>
              <w:top w:val="single" w:sz="4" w:space="0" w:color="000000"/>
              <w:left w:val="single" w:sz="4" w:space="0" w:color="000000"/>
              <w:bottom w:val="single" w:sz="4" w:space="0" w:color="000000"/>
            </w:tcBorders>
          </w:tcPr>
          <w:p w14:paraId="7A758A51" w14:textId="77777777" w:rsidR="00EC45B1" w:rsidRPr="007F5ECF" w:rsidRDefault="00000000">
            <w:pPr>
              <w:pStyle w:val="Footer"/>
              <w:widowControl w:val="0"/>
              <w:tabs>
                <w:tab w:val="left" w:pos="142"/>
                <w:tab w:val="left" w:pos="5812"/>
              </w:tabs>
              <w:contextualSpacing/>
              <w:jc w:val="right"/>
              <w:rPr>
                <w:sz w:val="22"/>
                <w:szCs w:val="22"/>
                <w:lang w:val="en-GB"/>
              </w:rPr>
            </w:pPr>
            <w:r w:rsidRPr="007F5ECF">
              <w:rPr>
                <w:sz w:val="22"/>
                <w:szCs w:val="22"/>
                <w:lang w:val="en-GB"/>
              </w:rPr>
              <w:t>[</w:t>
            </w:r>
            <w:r w:rsidRPr="007F5ECF">
              <w:rPr>
                <w:sz w:val="22"/>
                <w:szCs w:val="22"/>
                <w:highlight w:val="yellow"/>
                <w:lang w:val="en-GB"/>
              </w:rPr>
              <w:t xml:space="preserve">devise + </w:t>
            </w:r>
            <w:proofErr w:type="spellStart"/>
            <w:r w:rsidRPr="007F5ECF">
              <w:rPr>
                <w:sz w:val="22"/>
                <w:szCs w:val="22"/>
                <w:highlight w:val="yellow"/>
                <w:lang w:val="en-GB"/>
              </w:rPr>
              <w:t>montant</w:t>
            </w:r>
            <w:proofErr w:type="spellEnd"/>
            <w:r w:rsidRPr="007F5ECF">
              <w:rPr>
                <w:sz w:val="22"/>
                <w:szCs w:val="22"/>
                <w:lang w:val="en-GB"/>
              </w:rPr>
              <w:t>]</w:t>
            </w:r>
          </w:p>
        </w:tc>
      </w:tr>
      <w:tr w:rsidR="00EC45B1" w:rsidRPr="007F5ECF" w14:paraId="7A3B45D3" w14:textId="77777777">
        <w:tc>
          <w:tcPr>
            <w:tcW w:w="4754" w:type="dxa"/>
            <w:tcBorders>
              <w:top w:val="single" w:sz="4" w:space="0" w:color="000000"/>
              <w:right w:val="single" w:sz="4" w:space="0" w:color="000000"/>
            </w:tcBorders>
          </w:tcPr>
          <w:p w14:paraId="0FCC9873" w14:textId="77777777" w:rsidR="00EC45B1" w:rsidRPr="007F5ECF" w:rsidRDefault="00000000">
            <w:pPr>
              <w:pStyle w:val="Footer"/>
              <w:widowControl w:val="0"/>
              <w:tabs>
                <w:tab w:val="left" w:pos="142"/>
                <w:tab w:val="left" w:pos="5812"/>
              </w:tabs>
              <w:contextualSpacing/>
              <w:rPr>
                <w:b/>
                <w:sz w:val="22"/>
                <w:szCs w:val="22"/>
                <w:u w:val="single"/>
                <w:lang w:val="en-GB"/>
              </w:rPr>
            </w:pPr>
            <w:r w:rsidRPr="007F5ECF">
              <w:rPr>
                <w:b/>
                <w:sz w:val="22"/>
                <w:szCs w:val="22"/>
                <w:u w:val="single"/>
                <w:lang w:val="en-GB"/>
              </w:rPr>
              <w:t>Total</w:t>
            </w:r>
          </w:p>
        </w:tc>
        <w:tc>
          <w:tcPr>
            <w:tcW w:w="2337" w:type="dxa"/>
            <w:tcBorders>
              <w:top w:val="single" w:sz="4" w:space="0" w:color="000000"/>
              <w:left w:val="single" w:sz="4" w:space="0" w:color="000000"/>
              <w:right w:val="single" w:sz="4" w:space="0" w:color="000000"/>
            </w:tcBorders>
          </w:tcPr>
          <w:p w14:paraId="37011F16" w14:textId="77777777" w:rsidR="00EC45B1" w:rsidRPr="007F5ECF" w:rsidRDefault="00000000">
            <w:pPr>
              <w:pStyle w:val="Footer"/>
              <w:widowControl w:val="0"/>
              <w:tabs>
                <w:tab w:val="left" w:pos="142"/>
                <w:tab w:val="left" w:pos="5812"/>
              </w:tabs>
              <w:contextualSpacing/>
              <w:jc w:val="right"/>
              <w:rPr>
                <w:b/>
                <w:sz w:val="22"/>
                <w:szCs w:val="22"/>
                <w:u w:val="single"/>
                <w:lang w:val="en-GB"/>
              </w:rPr>
            </w:pPr>
            <w:r w:rsidRPr="007F5ECF">
              <w:rPr>
                <w:bCs/>
                <w:i/>
                <w:iCs/>
                <w:sz w:val="22"/>
                <w:szCs w:val="22"/>
                <w:u w:val="single"/>
                <w:lang w:val="en-GB"/>
              </w:rPr>
              <w:t>(</w:t>
            </w:r>
            <w:r w:rsidRPr="007F5ECF">
              <w:rPr>
                <w:bCs/>
                <w:i/>
                <w:iCs/>
                <w:sz w:val="22"/>
                <w:szCs w:val="22"/>
                <w:highlight w:val="cyan"/>
                <w:u w:val="single"/>
                <w:lang w:val="en-GB"/>
              </w:rPr>
              <w:t>minimum 12,000</w:t>
            </w:r>
            <w:r w:rsidRPr="007F5ECF">
              <w:rPr>
                <w:bCs/>
                <w:i/>
                <w:iCs/>
                <w:sz w:val="22"/>
                <w:szCs w:val="22"/>
                <w:u w:val="single"/>
                <w:lang w:val="en-GB"/>
              </w:rPr>
              <w:t>)</w:t>
            </w:r>
            <w:r w:rsidRPr="007F5ECF">
              <w:rPr>
                <w:b/>
                <w:sz w:val="22"/>
                <w:szCs w:val="22"/>
                <w:u w:val="single"/>
                <w:lang w:val="en-GB"/>
              </w:rPr>
              <w:t xml:space="preserve"> [</w:t>
            </w:r>
            <w:proofErr w:type="spellStart"/>
            <w:r w:rsidRPr="007F5ECF">
              <w:rPr>
                <w:b/>
                <w:sz w:val="22"/>
                <w:szCs w:val="22"/>
                <w:highlight w:val="yellow"/>
                <w:u w:val="single"/>
                <w:lang w:val="en-GB"/>
              </w:rPr>
              <w:t>somme</w:t>
            </w:r>
            <w:proofErr w:type="spellEnd"/>
            <w:r w:rsidRPr="007F5ECF">
              <w:rPr>
                <w:b/>
                <w:sz w:val="22"/>
                <w:szCs w:val="22"/>
                <w:u w:val="single"/>
                <w:lang w:val="en-GB"/>
              </w:rPr>
              <w:t>]</w:t>
            </w:r>
          </w:p>
        </w:tc>
        <w:tc>
          <w:tcPr>
            <w:tcW w:w="2557" w:type="dxa"/>
            <w:tcBorders>
              <w:top w:val="single" w:sz="4" w:space="0" w:color="000000"/>
              <w:left w:val="single" w:sz="4" w:space="0" w:color="000000"/>
            </w:tcBorders>
          </w:tcPr>
          <w:p w14:paraId="41126862" w14:textId="77777777" w:rsidR="00EC45B1" w:rsidRPr="007F5ECF" w:rsidRDefault="00000000">
            <w:pPr>
              <w:pStyle w:val="Footer"/>
              <w:widowControl w:val="0"/>
              <w:tabs>
                <w:tab w:val="left" w:pos="142"/>
                <w:tab w:val="left" w:pos="5812"/>
              </w:tabs>
              <w:contextualSpacing/>
              <w:jc w:val="right"/>
              <w:rPr>
                <w:b/>
                <w:sz w:val="22"/>
                <w:szCs w:val="22"/>
                <w:u w:val="single"/>
                <w:lang w:val="en-GB"/>
              </w:rPr>
            </w:pPr>
            <w:r w:rsidRPr="007F5ECF">
              <w:rPr>
                <w:bCs/>
                <w:i/>
                <w:iCs/>
                <w:sz w:val="22"/>
                <w:szCs w:val="22"/>
                <w:u w:val="single"/>
                <w:lang w:val="en-GB"/>
              </w:rPr>
              <w:t>(</w:t>
            </w:r>
            <w:r w:rsidRPr="007F5ECF">
              <w:rPr>
                <w:bCs/>
                <w:i/>
                <w:iCs/>
                <w:sz w:val="22"/>
                <w:szCs w:val="22"/>
                <w:highlight w:val="cyan"/>
                <w:u w:val="single"/>
                <w:lang w:val="en-GB"/>
              </w:rPr>
              <w:t>minimum EUR 12.000</w:t>
            </w:r>
            <w:r w:rsidRPr="007F5ECF">
              <w:rPr>
                <w:bCs/>
                <w:i/>
                <w:iCs/>
                <w:sz w:val="22"/>
                <w:szCs w:val="22"/>
                <w:u w:val="single"/>
                <w:lang w:val="en-GB"/>
              </w:rPr>
              <w:t>)</w:t>
            </w:r>
            <w:r w:rsidRPr="007F5ECF">
              <w:rPr>
                <w:b/>
                <w:sz w:val="22"/>
                <w:szCs w:val="22"/>
                <w:u w:val="single"/>
                <w:lang w:val="en-GB"/>
              </w:rPr>
              <w:t xml:space="preserve"> [</w:t>
            </w:r>
            <w:proofErr w:type="spellStart"/>
            <w:r w:rsidRPr="007F5ECF">
              <w:rPr>
                <w:b/>
                <w:sz w:val="22"/>
                <w:szCs w:val="22"/>
                <w:highlight w:val="yellow"/>
                <w:u w:val="single"/>
                <w:lang w:val="en-GB"/>
              </w:rPr>
              <w:t>somme</w:t>
            </w:r>
            <w:proofErr w:type="spellEnd"/>
            <w:r w:rsidRPr="007F5ECF">
              <w:rPr>
                <w:b/>
                <w:sz w:val="22"/>
                <w:szCs w:val="22"/>
                <w:u w:val="single"/>
                <w:lang w:val="en-GB"/>
              </w:rPr>
              <w:t>]</w:t>
            </w:r>
          </w:p>
        </w:tc>
      </w:tr>
    </w:tbl>
    <w:p w14:paraId="4EF2A1C4" w14:textId="77777777" w:rsidR="00EC45B1" w:rsidRPr="007F5ECF" w:rsidRDefault="00EC45B1">
      <w:pPr>
        <w:widowControl w:val="0"/>
        <w:contextualSpacing/>
        <w:jc w:val="both"/>
        <w:rPr>
          <w:sz w:val="22"/>
          <w:szCs w:val="24"/>
          <w:lang w:val="fr-FR"/>
        </w:rPr>
      </w:pPr>
    </w:p>
    <w:p w14:paraId="4D34CE9E" w14:textId="77777777" w:rsidR="00EC45B1" w:rsidRPr="007F5ECF" w:rsidRDefault="00000000">
      <w:pPr>
        <w:widowControl w:val="0"/>
        <w:contextualSpacing/>
        <w:jc w:val="both"/>
        <w:rPr>
          <w:sz w:val="22"/>
          <w:szCs w:val="24"/>
          <w:lang w:val="fr-FR"/>
        </w:rPr>
      </w:pPr>
      <w:r w:rsidRPr="007F5ECF">
        <w:rPr>
          <w:sz w:val="22"/>
          <w:szCs w:val="24"/>
          <w:lang w:val="fr-FR"/>
        </w:rPr>
        <w:t xml:space="preserve">Le montant de </w:t>
      </w:r>
      <w:r w:rsidRPr="007F5ECF">
        <w:rPr>
          <w:sz w:val="22"/>
          <w:szCs w:val="24"/>
          <w:lang w:val="fr-CH"/>
        </w:rPr>
        <w:t>[</w:t>
      </w:r>
      <w:r w:rsidRPr="007F5ECF">
        <w:rPr>
          <w:sz w:val="22"/>
          <w:szCs w:val="24"/>
          <w:highlight w:val="yellow"/>
          <w:lang w:val="fr-CH"/>
        </w:rPr>
        <w:t>devise + montant</w:t>
      </w:r>
      <w:r w:rsidRPr="007F5ECF">
        <w:rPr>
          <w:sz w:val="22"/>
          <w:szCs w:val="24"/>
          <w:lang w:val="fr-CH"/>
        </w:rPr>
        <w:t>]</w:t>
      </w:r>
      <w:r w:rsidRPr="007F5ECF">
        <w:rPr>
          <w:sz w:val="22"/>
          <w:szCs w:val="24"/>
          <w:lang w:val="fr-FR"/>
        </w:rPr>
        <w:t xml:space="preserve"> a été intégralement libéré en numéraire et se trouve dès à présent à la libre disposition de la Société, ainsi qu’il en a été justifié au notaire.</w:t>
      </w:r>
    </w:p>
    <w:p w14:paraId="7DE76B3F" w14:textId="77777777" w:rsidR="00EC45B1" w:rsidRDefault="00000000">
      <w:pPr>
        <w:pStyle w:val="AoALevel1ABC"/>
        <w:keepNext w:val="0"/>
        <w:widowControl w:val="0"/>
        <w:numPr>
          <w:ilvl w:val="0"/>
          <w:numId w:val="0"/>
        </w:numPr>
        <w:pBdr>
          <w:bottom w:val="single" w:sz="6" w:space="4" w:color="1F4E5F"/>
        </w:pBdr>
        <w:tabs>
          <w:tab w:val="clear" w:pos="680"/>
          <w:tab w:val="left" w:pos="426"/>
        </w:tabs>
        <w:spacing w:before="360" w:after="0"/>
        <w:contextualSpacing/>
        <w:rPr>
          <w:lang w:val="fr-FR"/>
        </w:rPr>
      </w:pPr>
      <w:r>
        <w:rPr>
          <w:rStyle w:val="Heading20"/>
          <w:b w:val="0"/>
          <w:bCs w:val="0"/>
          <w:i/>
          <w:iCs/>
          <w:caps w:val="0"/>
          <w:sz w:val="22"/>
          <w:szCs w:val="22"/>
          <w:highlight w:val="cyan"/>
          <w:u w:val="none"/>
          <w:lang w:val="fr-FR"/>
        </w:rPr>
        <w:t xml:space="preserve">Clause dans le cas où le capital est libéré dans les 12 mois suivant la date de constitution </w:t>
      </w:r>
      <w:r>
        <w:rPr>
          <w:rStyle w:val="FootnoteReference"/>
          <w:b w:val="0"/>
          <w:bCs w:val="0"/>
          <w:i/>
          <w:iCs/>
          <w:caps w:val="0"/>
          <w:highlight w:val="cyan"/>
          <w:u w:val="none"/>
        </w:rPr>
        <w:footnoteReference w:id="19"/>
      </w:r>
      <w:r>
        <w:rPr>
          <w:rStyle w:val="Heading20"/>
          <w:b w:val="0"/>
          <w:bCs w:val="0"/>
          <w:i/>
          <w:iCs/>
          <w:caps w:val="0"/>
          <w:sz w:val="22"/>
          <w:szCs w:val="22"/>
          <w:highlight w:val="cyan"/>
          <w:u w:val="none"/>
          <w:lang w:val="fr-FR"/>
        </w:rPr>
        <w:t>:</w:t>
      </w:r>
    </w:p>
    <w:p w14:paraId="320A46A6" w14:textId="77777777" w:rsidR="00EC45B1" w:rsidRDefault="00000000">
      <w:pPr>
        <w:widowControl w:val="0"/>
        <w:contextualSpacing/>
        <w:jc w:val="both"/>
        <w:rPr>
          <w:lang w:val="fr-FR"/>
        </w:rPr>
      </w:pPr>
      <w:r>
        <w:rPr>
          <w:rStyle w:val="Heading20"/>
          <w:sz w:val="22"/>
          <w:szCs w:val="22"/>
          <w:u w:val="none"/>
          <w:lang w:val="fr-FR"/>
        </w:rPr>
        <w:t>Les statuts de la Société ayant été ainsi arrêtés, toutes les parts sociales ont été souscrites comme suit (les </w:t>
      </w:r>
      <w:proofErr w:type="gramStart"/>
      <w:r>
        <w:rPr>
          <w:rStyle w:val="Heading20"/>
          <w:sz w:val="22"/>
          <w:szCs w:val="22"/>
          <w:u w:val="none"/>
          <w:lang w:val="fr-FR"/>
        </w:rPr>
        <w:t>« </w:t>
      </w:r>
      <w:r>
        <w:rPr>
          <w:rStyle w:val="Heading20"/>
          <w:b/>
          <w:sz w:val="22"/>
          <w:szCs w:val="22"/>
          <w:u w:val="none"/>
          <w:lang w:val="fr-FR"/>
        </w:rPr>
        <w:t xml:space="preserve"> Associés</w:t>
      </w:r>
      <w:proofErr w:type="gramEnd"/>
      <w:r>
        <w:rPr>
          <w:rStyle w:val="Heading20"/>
          <w:sz w:val="22"/>
          <w:szCs w:val="22"/>
          <w:u w:val="none"/>
          <w:lang w:val="fr-FR"/>
        </w:rPr>
        <w:t> ») :</w:t>
      </w:r>
    </w:p>
    <w:p w14:paraId="4F452466" w14:textId="77777777" w:rsidR="00EC45B1" w:rsidRDefault="00EC45B1">
      <w:pPr>
        <w:widowControl w:val="0"/>
        <w:contextualSpacing/>
        <w:jc w:val="both"/>
        <w:rPr>
          <w:rStyle w:val="Heading20"/>
          <w:sz w:val="22"/>
          <w:szCs w:val="22"/>
          <w:u w:val="none"/>
          <w:lang w:val="fr-FR"/>
        </w:rPr>
      </w:pPr>
    </w:p>
    <w:tbl>
      <w:tblPr>
        <w:tblW w:w="7942" w:type="dxa"/>
        <w:tblInd w:w="108" w:type="dxa"/>
        <w:tblLayout w:type="fixed"/>
        <w:tblLook w:val="0000" w:firstRow="0" w:lastRow="0" w:firstColumn="0" w:lastColumn="0" w:noHBand="0" w:noVBand="0"/>
      </w:tblPr>
      <w:tblGrid>
        <w:gridCol w:w="5268"/>
        <w:gridCol w:w="2674"/>
      </w:tblGrid>
      <w:tr w:rsidR="00EC45B1" w14:paraId="177B4230" w14:textId="77777777">
        <w:tc>
          <w:tcPr>
            <w:tcW w:w="5267" w:type="dxa"/>
            <w:tcBorders>
              <w:bottom w:val="single" w:sz="4" w:space="0" w:color="000000"/>
              <w:right w:val="single" w:sz="4" w:space="0" w:color="000000"/>
            </w:tcBorders>
          </w:tcPr>
          <w:p w14:paraId="2A922B95" w14:textId="77777777" w:rsidR="00EC45B1" w:rsidRDefault="00000000">
            <w:pPr>
              <w:pStyle w:val="Footer"/>
              <w:widowControl w:val="0"/>
              <w:tabs>
                <w:tab w:val="left" w:pos="142"/>
                <w:tab w:val="center" w:pos="2568"/>
              </w:tabs>
              <w:contextualSpacing/>
              <w:rPr>
                <w:lang w:val="en-GB"/>
              </w:rPr>
            </w:pPr>
            <w:proofErr w:type="spellStart"/>
            <w:r>
              <w:rPr>
                <w:lang w:val="en-GB"/>
              </w:rPr>
              <w:t>Souscripteur</w:t>
            </w:r>
            <w:proofErr w:type="spellEnd"/>
          </w:p>
        </w:tc>
        <w:tc>
          <w:tcPr>
            <w:tcW w:w="2674" w:type="dxa"/>
            <w:tcBorders>
              <w:left w:val="single" w:sz="4" w:space="0" w:color="000000"/>
              <w:bottom w:val="single" w:sz="4" w:space="0" w:color="000000"/>
              <w:right w:val="single" w:sz="4" w:space="0" w:color="000000"/>
            </w:tcBorders>
          </w:tcPr>
          <w:p w14:paraId="449EB464" w14:textId="77777777" w:rsidR="00EC45B1" w:rsidRDefault="00000000">
            <w:pPr>
              <w:pStyle w:val="Footer"/>
              <w:widowControl w:val="0"/>
              <w:tabs>
                <w:tab w:val="left" w:pos="142"/>
                <w:tab w:val="left" w:pos="5812"/>
              </w:tabs>
              <w:contextualSpacing/>
              <w:jc w:val="right"/>
              <w:rPr>
                <w:lang w:val="en-GB"/>
              </w:rPr>
            </w:pPr>
            <w:r>
              <w:rPr>
                <w:lang w:val="en-GB"/>
              </w:rPr>
              <w:t xml:space="preserve">Parts </w:t>
            </w:r>
            <w:proofErr w:type="spellStart"/>
            <w:r>
              <w:rPr>
                <w:lang w:val="en-GB"/>
              </w:rPr>
              <w:t>sociales</w:t>
            </w:r>
            <w:proofErr w:type="spellEnd"/>
          </w:p>
        </w:tc>
      </w:tr>
      <w:tr w:rsidR="00EC45B1" w14:paraId="675D7C22" w14:textId="77777777">
        <w:tc>
          <w:tcPr>
            <w:tcW w:w="5267" w:type="dxa"/>
            <w:tcBorders>
              <w:top w:val="single" w:sz="4" w:space="0" w:color="000000"/>
              <w:bottom w:val="single" w:sz="4" w:space="0" w:color="000000"/>
              <w:right w:val="single" w:sz="4" w:space="0" w:color="000000"/>
            </w:tcBorders>
          </w:tcPr>
          <w:p w14:paraId="6EA6E774" w14:textId="77777777" w:rsidR="00EC45B1" w:rsidRDefault="00000000">
            <w:pPr>
              <w:pStyle w:val="Footer"/>
              <w:widowControl w:val="0"/>
              <w:tabs>
                <w:tab w:val="left" w:pos="0"/>
                <w:tab w:val="left" w:pos="5812"/>
              </w:tabs>
              <w:contextualSpacing/>
              <w:rPr>
                <w:lang w:val="fr-LU"/>
              </w:rPr>
            </w:pPr>
            <w:r>
              <w:rPr>
                <w:b/>
                <w:lang w:val="fr-LU"/>
              </w:rPr>
              <w:t>[</w:t>
            </w:r>
            <w:proofErr w:type="gramStart"/>
            <w:r>
              <w:rPr>
                <w:b/>
                <w:highlight w:val="yellow"/>
                <w:lang w:val="fr-LU"/>
              </w:rPr>
              <w:t>nom</w:t>
            </w:r>
            <w:proofErr w:type="gramEnd"/>
            <w:r>
              <w:rPr>
                <w:b/>
                <w:highlight w:val="yellow"/>
                <w:lang w:val="fr-LU"/>
              </w:rPr>
              <w:t xml:space="preserve"> de l’associé</w:t>
            </w:r>
            <w:r>
              <w:rPr>
                <w:b/>
                <w:lang w:val="fr-LU"/>
              </w:rPr>
              <w:t>]</w:t>
            </w:r>
            <w:r>
              <w:rPr>
                <w:lang w:val="fr-LU"/>
              </w:rPr>
              <w:t xml:space="preserve"> susnommée</w:t>
            </w:r>
          </w:p>
        </w:tc>
        <w:tc>
          <w:tcPr>
            <w:tcW w:w="2674" w:type="dxa"/>
            <w:tcBorders>
              <w:top w:val="single" w:sz="4" w:space="0" w:color="000000"/>
              <w:left w:val="single" w:sz="4" w:space="0" w:color="000000"/>
              <w:bottom w:val="single" w:sz="4" w:space="0" w:color="000000"/>
              <w:right w:val="single" w:sz="4" w:space="0" w:color="000000"/>
            </w:tcBorders>
          </w:tcPr>
          <w:p w14:paraId="140A39F1" w14:textId="77777777" w:rsidR="00EC45B1" w:rsidRDefault="00000000">
            <w:pPr>
              <w:pStyle w:val="Footer"/>
              <w:widowControl w:val="0"/>
              <w:tabs>
                <w:tab w:val="left" w:pos="142"/>
                <w:tab w:val="left" w:pos="5812"/>
              </w:tabs>
              <w:contextualSpacing/>
              <w:jc w:val="right"/>
              <w:rPr>
                <w:lang w:val="en-GB"/>
              </w:rPr>
            </w:pPr>
            <w:r>
              <w:rPr>
                <w:lang w:val="en-GB"/>
              </w:rPr>
              <w:t>[</w:t>
            </w:r>
            <w:proofErr w:type="spellStart"/>
            <w:r>
              <w:rPr>
                <w:highlight w:val="yellow"/>
                <w:lang w:val="en-GB"/>
              </w:rPr>
              <w:t>quantité</w:t>
            </w:r>
            <w:proofErr w:type="spellEnd"/>
            <w:r>
              <w:rPr>
                <w:lang w:val="en-GB"/>
              </w:rPr>
              <w:t>]</w:t>
            </w:r>
          </w:p>
        </w:tc>
      </w:tr>
      <w:tr w:rsidR="00EC45B1" w14:paraId="0421F6FA" w14:textId="77777777">
        <w:tc>
          <w:tcPr>
            <w:tcW w:w="5267" w:type="dxa"/>
            <w:tcBorders>
              <w:top w:val="single" w:sz="4" w:space="0" w:color="000000"/>
              <w:bottom w:val="single" w:sz="4" w:space="0" w:color="000000"/>
              <w:right w:val="single" w:sz="4" w:space="0" w:color="000000"/>
            </w:tcBorders>
          </w:tcPr>
          <w:p w14:paraId="08701D4A" w14:textId="77777777" w:rsidR="00EC45B1" w:rsidRDefault="00000000">
            <w:pPr>
              <w:pStyle w:val="Footer"/>
              <w:widowControl w:val="0"/>
              <w:tabs>
                <w:tab w:val="left" w:pos="0"/>
                <w:tab w:val="left" w:pos="5812"/>
              </w:tabs>
              <w:contextualSpacing/>
              <w:rPr>
                <w:b/>
                <w:lang w:val="fr-CH"/>
              </w:rPr>
            </w:pPr>
            <w:r>
              <w:rPr>
                <w:b/>
                <w:lang w:val="fr-LU"/>
              </w:rPr>
              <w:t>[</w:t>
            </w:r>
            <w:proofErr w:type="gramStart"/>
            <w:r>
              <w:rPr>
                <w:b/>
                <w:highlight w:val="yellow"/>
                <w:lang w:val="fr-LU"/>
              </w:rPr>
              <w:t>nom</w:t>
            </w:r>
            <w:proofErr w:type="gramEnd"/>
            <w:r>
              <w:rPr>
                <w:b/>
                <w:highlight w:val="yellow"/>
                <w:lang w:val="fr-LU"/>
              </w:rPr>
              <w:t xml:space="preserve"> de </w:t>
            </w:r>
            <w:proofErr w:type="gramStart"/>
            <w:r>
              <w:rPr>
                <w:b/>
                <w:highlight w:val="yellow"/>
                <w:lang w:val="fr-LU"/>
              </w:rPr>
              <w:t>l’associé</w:t>
            </w:r>
            <w:r>
              <w:rPr>
                <w:b/>
                <w:lang w:val="fr-LU"/>
              </w:rPr>
              <w:t>]</w:t>
            </w:r>
            <w:r>
              <w:rPr>
                <w:lang w:val="fr-LU"/>
              </w:rPr>
              <w:t xml:space="preserve"> </w:t>
            </w:r>
            <w:r>
              <w:rPr>
                <w:lang w:val="fr-CH"/>
              </w:rPr>
              <w:t xml:space="preserve"> susnommée</w:t>
            </w:r>
            <w:proofErr w:type="gramEnd"/>
          </w:p>
        </w:tc>
        <w:tc>
          <w:tcPr>
            <w:tcW w:w="2674" w:type="dxa"/>
            <w:tcBorders>
              <w:top w:val="single" w:sz="4" w:space="0" w:color="000000"/>
              <w:left w:val="single" w:sz="4" w:space="0" w:color="000000"/>
              <w:bottom w:val="single" w:sz="4" w:space="0" w:color="000000"/>
              <w:right w:val="single" w:sz="4" w:space="0" w:color="000000"/>
            </w:tcBorders>
          </w:tcPr>
          <w:p w14:paraId="502059CD" w14:textId="77777777" w:rsidR="00EC45B1" w:rsidRDefault="00000000">
            <w:pPr>
              <w:pStyle w:val="Footer"/>
              <w:widowControl w:val="0"/>
              <w:tabs>
                <w:tab w:val="left" w:pos="142"/>
                <w:tab w:val="left" w:pos="5812"/>
              </w:tabs>
              <w:contextualSpacing/>
              <w:jc w:val="right"/>
              <w:rPr>
                <w:lang w:val="fr-CH"/>
              </w:rPr>
            </w:pPr>
            <w:r>
              <w:rPr>
                <w:lang w:val="en-GB"/>
              </w:rPr>
              <w:t>[</w:t>
            </w:r>
            <w:proofErr w:type="spellStart"/>
            <w:r>
              <w:rPr>
                <w:highlight w:val="yellow"/>
                <w:lang w:val="en-GB"/>
              </w:rPr>
              <w:t>quantité</w:t>
            </w:r>
            <w:proofErr w:type="spellEnd"/>
            <w:r>
              <w:rPr>
                <w:lang w:val="en-GB"/>
              </w:rPr>
              <w:t>]</w:t>
            </w:r>
          </w:p>
        </w:tc>
      </w:tr>
      <w:tr w:rsidR="00EC45B1" w14:paraId="7FCABA8A" w14:textId="77777777">
        <w:tc>
          <w:tcPr>
            <w:tcW w:w="5267" w:type="dxa"/>
            <w:tcBorders>
              <w:top w:val="single" w:sz="4" w:space="0" w:color="000000"/>
              <w:bottom w:val="single" w:sz="4" w:space="0" w:color="000000"/>
              <w:right w:val="single" w:sz="4" w:space="0" w:color="000000"/>
            </w:tcBorders>
          </w:tcPr>
          <w:p w14:paraId="260C7EB5" w14:textId="77777777" w:rsidR="00EC45B1" w:rsidRDefault="00000000">
            <w:pPr>
              <w:pStyle w:val="Footer"/>
              <w:widowControl w:val="0"/>
              <w:tabs>
                <w:tab w:val="left" w:pos="0"/>
                <w:tab w:val="left" w:pos="5812"/>
              </w:tabs>
              <w:contextualSpacing/>
              <w:rPr>
                <w:b/>
              </w:rPr>
            </w:pPr>
            <w:r>
              <w:rPr>
                <w:b/>
                <w:lang w:val="fr-LU"/>
              </w:rPr>
              <w:t>[</w:t>
            </w:r>
            <w:proofErr w:type="gramStart"/>
            <w:r>
              <w:rPr>
                <w:b/>
                <w:highlight w:val="yellow"/>
                <w:lang w:val="fr-LU"/>
              </w:rPr>
              <w:t>nom</w:t>
            </w:r>
            <w:proofErr w:type="gramEnd"/>
            <w:r>
              <w:rPr>
                <w:b/>
                <w:highlight w:val="yellow"/>
                <w:lang w:val="fr-LU"/>
              </w:rPr>
              <w:t xml:space="preserve"> de </w:t>
            </w:r>
            <w:proofErr w:type="gramStart"/>
            <w:r>
              <w:rPr>
                <w:b/>
                <w:highlight w:val="yellow"/>
                <w:lang w:val="fr-LU"/>
              </w:rPr>
              <w:t>l’associé</w:t>
            </w:r>
            <w:r>
              <w:rPr>
                <w:b/>
                <w:lang w:val="fr-LU"/>
              </w:rPr>
              <w:t>]</w:t>
            </w:r>
            <w:r>
              <w:rPr>
                <w:lang w:val="fr-LU"/>
              </w:rPr>
              <w:t xml:space="preserve"> </w:t>
            </w:r>
            <w:r>
              <w:t xml:space="preserve"> </w:t>
            </w:r>
            <w:proofErr w:type="spellStart"/>
            <w:r>
              <w:t>susnommée</w:t>
            </w:r>
            <w:proofErr w:type="spellEnd"/>
            <w:proofErr w:type="gramEnd"/>
          </w:p>
        </w:tc>
        <w:tc>
          <w:tcPr>
            <w:tcW w:w="2674" w:type="dxa"/>
            <w:tcBorders>
              <w:top w:val="single" w:sz="4" w:space="0" w:color="000000"/>
              <w:left w:val="single" w:sz="4" w:space="0" w:color="000000"/>
              <w:bottom w:val="single" w:sz="4" w:space="0" w:color="000000"/>
              <w:right w:val="single" w:sz="4" w:space="0" w:color="000000"/>
            </w:tcBorders>
          </w:tcPr>
          <w:p w14:paraId="4865ADD6" w14:textId="77777777" w:rsidR="00EC45B1" w:rsidRDefault="00000000">
            <w:pPr>
              <w:pStyle w:val="Footer"/>
              <w:widowControl w:val="0"/>
              <w:tabs>
                <w:tab w:val="left" w:pos="142"/>
                <w:tab w:val="left" w:pos="5812"/>
              </w:tabs>
              <w:contextualSpacing/>
              <w:jc w:val="right"/>
              <w:rPr>
                <w:lang w:val="en-GB"/>
              </w:rPr>
            </w:pPr>
            <w:r>
              <w:rPr>
                <w:lang w:val="en-GB"/>
              </w:rPr>
              <w:t>[</w:t>
            </w:r>
            <w:proofErr w:type="spellStart"/>
            <w:r>
              <w:rPr>
                <w:highlight w:val="yellow"/>
                <w:lang w:val="en-GB"/>
              </w:rPr>
              <w:t>quantité</w:t>
            </w:r>
            <w:proofErr w:type="spellEnd"/>
            <w:r>
              <w:rPr>
                <w:lang w:val="en-GB"/>
              </w:rPr>
              <w:t>]</w:t>
            </w:r>
          </w:p>
        </w:tc>
      </w:tr>
      <w:tr w:rsidR="00EC45B1" w14:paraId="07947F58" w14:textId="77777777">
        <w:tc>
          <w:tcPr>
            <w:tcW w:w="5267" w:type="dxa"/>
            <w:tcBorders>
              <w:top w:val="single" w:sz="4" w:space="0" w:color="000000"/>
              <w:right w:val="single" w:sz="4" w:space="0" w:color="000000"/>
            </w:tcBorders>
          </w:tcPr>
          <w:p w14:paraId="1F632B22" w14:textId="77777777" w:rsidR="00EC45B1" w:rsidRDefault="00000000">
            <w:pPr>
              <w:pStyle w:val="Footer"/>
              <w:widowControl w:val="0"/>
              <w:tabs>
                <w:tab w:val="left" w:pos="142"/>
                <w:tab w:val="left" w:pos="5812"/>
              </w:tabs>
              <w:contextualSpacing/>
              <w:rPr>
                <w:b/>
                <w:u w:val="single"/>
                <w:lang w:val="en-GB"/>
              </w:rPr>
            </w:pPr>
            <w:r>
              <w:rPr>
                <w:b/>
                <w:u w:val="single"/>
                <w:lang w:val="en-GB"/>
              </w:rPr>
              <w:t>Total</w:t>
            </w:r>
          </w:p>
        </w:tc>
        <w:tc>
          <w:tcPr>
            <w:tcW w:w="2674" w:type="dxa"/>
            <w:tcBorders>
              <w:top w:val="single" w:sz="4" w:space="0" w:color="000000"/>
              <w:left w:val="single" w:sz="4" w:space="0" w:color="000000"/>
              <w:right w:val="single" w:sz="4" w:space="0" w:color="000000"/>
            </w:tcBorders>
          </w:tcPr>
          <w:p w14:paraId="3A7A7984" w14:textId="77777777" w:rsidR="00EC45B1" w:rsidRDefault="00000000">
            <w:pPr>
              <w:pStyle w:val="Footer"/>
              <w:widowControl w:val="0"/>
              <w:tabs>
                <w:tab w:val="left" w:pos="142"/>
                <w:tab w:val="left" w:pos="5812"/>
              </w:tabs>
              <w:contextualSpacing/>
              <w:jc w:val="right"/>
              <w:rPr>
                <w:b/>
                <w:u w:val="single"/>
                <w:lang w:val="en-GB"/>
              </w:rPr>
            </w:pPr>
            <w:r>
              <w:rPr>
                <w:bCs/>
                <w:i/>
                <w:iCs/>
                <w:u w:val="single"/>
                <w:lang w:val="en-GB"/>
              </w:rPr>
              <w:t>(</w:t>
            </w:r>
            <w:r>
              <w:rPr>
                <w:bCs/>
                <w:i/>
                <w:iCs/>
                <w:highlight w:val="cyan"/>
                <w:u w:val="single"/>
                <w:lang w:val="en-GB"/>
              </w:rPr>
              <w:t>minimum 12,000</w:t>
            </w:r>
            <w:r>
              <w:rPr>
                <w:bCs/>
                <w:i/>
                <w:iCs/>
                <w:u w:val="single"/>
                <w:lang w:val="en-GB"/>
              </w:rPr>
              <w:t>)</w:t>
            </w:r>
            <w:r>
              <w:rPr>
                <w:b/>
                <w:u w:val="single"/>
                <w:lang w:val="en-GB"/>
              </w:rPr>
              <w:t xml:space="preserve"> [</w:t>
            </w:r>
            <w:proofErr w:type="spellStart"/>
            <w:r>
              <w:rPr>
                <w:b/>
                <w:highlight w:val="yellow"/>
                <w:u w:val="single"/>
                <w:lang w:val="en-GB"/>
              </w:rPr>
              <w:t>somme</w:t>
            </w:r>
            <w:proofErr w:type="spellEnd"/>
            <w:r>
              <w:rPr>
                <w:b/>
                <w:u w:val="single"/>
                <w:lang w:val="en-GB"/>
              </w:rPr>
              <w:t>]</w:t>
            </w:r>
          </w:p>
        </w:tc>
      </w:tr>
    </w:tbl>
    <w:p w14:paraId="66E603E5" w14:textId="77777777" w:rsidR="00EC45B1" w:rsidRDefault="00EC45B1">
      <w:pPr>
        <w:widowControl w:val="0"/>
        <w:contextualSpacing/>
        <w:jc w:val="both"/>
        <w:rPr>
          <w:rStyle w:val="Heading20"/>
          <w:sz w:val="22"/>
          <w:szCs w:val="22"/>
          <w:u w:val="none"/>
          <w:lang w:val="fr-FR"/>
        </w:rPr>
      </w:pPr>
    </w:p>
    <w:p w14:paraId="2130597C" w14:textId="77777777" w:rsidR="00EC45B1" w:rsidRDefault="00000000">
      <w:pPr>
        <w:widowControl w:val="0"/>
        <w:contextualSpacing/>
        <w:jc w:val="both"/>
        <w:rPr>
          <w:lang w:val="fr-FR"/>
        </w:rPr>
      </w:pPr>
      <w:r>
        <w:rPr>
          <w:rStyle w:val="Heading20"/>
          <w:sz w:val="22"/>
          <w:szCs w:val="22"/>
          <w:u w:val="none"/>
          <w:lang w:val="fr-FR"/>
        </w:rPr>
        <w:t>Il est expressément déclaré et constaté par les présentes que le capital social de la Société a été entièrement souscrit par les Associés susmentionnés, ainsi qu’il est exposé ci-dessus.</w:t>
      </w:r>
    </w:p>
    <w:p w14:paraId="56E5B619" w14:textId="77777777" w:rsidR="00EC45B1" w:rsidRDefault="00EC45B1">
      <w:pPr>
        <w:widowControl w:val="0"/>
        <w:contextualSpacing/>
        <w:jc w:val="both"/>
        <w:rPr>
          <w:rStyle w:val="Heading20"/>
          <w:sz w:val="22"/>
          <w:szCs w:val="22"/>
          <w:u w:val="none"/>
          <w:lang w:val="fr-FR"/>
        </w:rPr>
      </w:pPr>
    </w:p>
    <w:p w14:paraId="4587C4EF" w14:textId="77777777" w:rsidR="00EC45B1" w:rsidRDefault="00000000">
      <w:pPr>
        <w:widowControl w:val="0"/>
        <w:contextualSpacing/>
        <w:jc w:val="both"/>
        <w:rPr>
          <w:lang w:val="fr-FR"/>
        </w:rPr>
      </w:pPr>
      <w:r>
        <w:rPr>
          <w:rStyle w:val="Heading20"/>
          <w:sz w:val="22"/>
          <w:szCs w:val="22"/>
          <w:u w:val="none"/>
          <w:lang w:val="fr-FR"/>
        </w:rPr>
        <w:t>Conformément aux dispositions de l’Article 710-6 de la Loi de 1915, les Associés déclarent que le capital social a été souscrit mais n’est pas libéré à ce jour, et s’engagent à verser la somme de [</w:t>
      </w:r>
      <w:r>
        <w:rPr>
          <w:rStyle w:val="Heading20"/>
          <w:sz w:val="22"/>
          <w:szCs w:val="22"/>
          <w:u w:val="none"/>
          <w:shd w:val="clear" w:color="auto" w:fill="FFFF00"/>
          <w:lang w:val="fr-FR"/>
        </w:rPr>
        <w:t>devise + montant</w:t>
      </w:r>
      <w:r>
        <w:rPr>
          <w:rStyle w:val="Heading20"/>
          <w:sz w:val="22"/>
          <w:szCs w:val="22"/>
          <w:u w:val="none"/>
          <w:lang w:val="fr-FR"/>
        </w:rPr>
        <w:t>] dans un délai de 12 mois à compter du présent acte de constitution.</w:t>
      </w:r>
    </w:p>
    <w:p w14:paraId="049AD53A" w14:textId="77777777" w:rsidR="00EC45B1" w:rsidRDefault="00EC45B1">
      <w:pPr>
        <w:widowControl w:val="0"/>
        <w:contextualSpacing/>
        <w:jc w:val="both"/>
        <w:rPr>
          <w:rStyle w:val="Heading20"/>
          <w:sz w:val="22"/>
          <w:szCs w:val="22"/>
          <w:u w:val="none"/>
          <w:lang w:val="fr-FR"/>
        </w:rPr>
      </w:pPr>
    </w:p>
    <w:p w14:paraId="42F2C1BA" w14:textId="77777777" w:rsidR="00EC45B1" w:rsidRDefault="00000000">
      <w:pPr>
        <w:pStyle w:val="BodyText"/>
        <w:widowControl w:val="0"/>
        <w:spacing w:after="0"/>
        <w:contextualSpacing/>
        <w:jc w:val="both"/>
        <w:rPr>
          <w:lang w:val="fr-FR"/>
        </w:rPr>
      </w:pPr>
      <w:r>
        <w:rPr>
          <w:rStyle w:val="Heading20"/>
          <w:color w:val="000000"/>
          <w:sz w:val="22"/>
          <w:szCs w:val="22"/>
          <w:u w:val="none"/>
          <w:lang w:val="fr-FR"/>
        </w:rPr>
        <w:t>La libération dudit capital social sera effectuée par les Associés sur appel(s) de fonds qui leur sera/seront adressé(s) par le(s) gérant(s) ou le conseil de gérance, dans les délais et selon les modalités définis par les statuts et dans le(s) appel(s) de fonds concerné(s).</w:t>
      </w:r>
    </w:p>
    <w:p w14:paraId="75FEC420" w14:textId="77777777" w:rsidR="00EC45B1" w:rsidRDefault="00000000">
      <w:pPr>
        <w:pStyle w:val="BodyText"/>
        <w:widowControl w:val="0"/>
        <w:spacing w:after="0"/>
        <w:jc w:val="both"/>
        <w:rPr>
          <w:lang w:val="fr-FR"/>
        </w:rPr>
      </w:pPr>
      <w:r>
        <w:rPr>
          <w:lang w:val="fr-FR"/>
        </w:rPr>
        <w:t> </w:t>
      </w:r>
    </w:p>
    <w:p w14:paraId="49B6EB5F" w14:textId="77777777" w:rsidR="00EC45B1" w:rsidRDefault="00000000">
      <w:pPr>
        <w:pStyle w:val="BodyText"/>
        <w:widowControl w:val="0"/>
        <w:spacing w:after="0"/>
        <w:jc w:val="both"/>
        <w:rPr>
          <w:lang w:val="fr-FR"/>
        </w:rPr>
      </w:pPr>
      <w:r>
        <w:rPr>
          <w:color w:val="000000"/>
          <w:sz w:val="22"/>
          <w:lang w:val="fr-FR"/>
        </w:rPr>
        <w:t>Le notaire attire</w:t>
      </w:r>
      <w:r>
        <w:rPr>
          <w:color w:val="000000"/>
          <w:lang w:val="fr-FR"/>
        </w:rPr>
        <w:t xml:space="preserve"> </w:t>
      </w:r>
      <w:r>
        <w:rPr>
          <w:color w:val="000000"/>
          <w:sz w:val="22"/>
          <w:lang w:val="fr-FR"/>
        </w:rPr>
        <w:t>l'attention du ou des gérants (ou du conseil de gérance) sur le fait qu'il(s) est/sont tenu(s) de procéder à tout appel de fonds nécessaire à la libération intégrale du capital social dans un délai de douze (12) mois suivant la date du présent acte de constitution, et qu'il(s) pourrait/pourraient encourir une responsabilité personnelle en cas d'omission, de retard ou de manquement à cette obligation, ce qui pourrait engager sa/leur responsabilité envers la Société, sans préjudice de tous dommages-intérêts.</w:t>
      </w:r>
    </w:p>
    <w:p w14:paraId="09707D26" w14:textId="77777777" w:rsidR="00EC45B1" w:rsidRDefault="00000000">
      <w:pPr>
        <w:pStyle w:val="BodyText"/>
        <w:widowControl w:val="0"/>
        <w:spacing w:after="0"/>
        <w:jc w:val="both"/>
        <w:rPr>
          <w:lang w:val="fr-FR"/>
        </w:rPr>
      </w:pPr>
      <w:r>
        <w:rPr>
          <w:lang w:val="fr-FR"/>
        </w:rPr>
        <w:t> </w:t>
      </w:r>
    </w:p>
    <w:p w14:paraId="3B7DC1EB" w14:textId="77777777" w:rsidR="00EC45B1" w:rsidRDefault="00000000">
      <w:pPr>
        <w:pStyle w:val="BodyText"/>
        <w:widowControl w:val="0"/>
        <w:spacing w:after="0"/>
        <w:jc w:val="both"/>
        <w:rPr>
          <w:lang w:val="fr-FR"/>
        </w:rPr>
      </w:pPr>
      <w:r>
        <w:rPr>
          <w:color w:val="000000"/>
          <w:sz w:val="22"/>
          <w:lang w:val="fr-FR"/>
        </w:rPr>
        <w:t xml:space="preserve">Le capital social a été souscrit par les Associés, susnommés et représentés comme indiqué précédemment, sans </w:t>
      </w:r>
      <w:r>
        <w:rPr>
          <w:color w:val="000000"/>
          <w:sz w:val="22"/>
          <w:lang w:val="fr-FR"/>
        </w:rPr>
        <w:lastRenderedPageBreak/>
        <w:t>versement du montant indiqué ci-après.</w:t>
      </w:r>
      <w:r>
        <w:rPr>
          <w:color w:val="000000"/>
          <w:sz w:val="22"/>
          <w:shd w:val="clear" w:color="auto" w:fill="00FFFF"/>
          <w:lang w:val="fr-FR"/>
        </w:rPr>
        <w:t>]</w:t>
      </w:r>
    </w:p>
    <w:p w14:paraId="6285272A" w14:textId="77777777" w:rsidR="00EC45B1" w:rsidRDefault="00000000">
      <w:pPr>
        <w:pStyle w:val="Title3"/>
        <w:widowControl w:val="0"/>
        <w:spacing w:before="360" w:after="240"/>
        <w:contextualSpacing/>
        <w:rPr>
          <w:caps w:val="0"/>
          <w:szCs w:val="22"/>
          <w:lang w:val="fr-FR"/>
        </w:rPr>
      </w:pPr>
      <w:r>
        <w:rPr>
          <w:caps w:val="0"/>
          <w:szCs w:val="22"/>
          <w:lang w:val="fr-FR"/>
        </w:rPr>
        <w:t>DECISION DES ASSOCIES</w:t>
      </w:r>
    </w:p>
    <w:p w14:paraId="293C6B73" w14:textId="77777777" w:rsidR="00EC45B1" w:rsidRPr="007F5ECF" w:rsidRDefault="00000000">
      <w:pPr>
        <w:pStyle w:val="ListParagraph"/>
        <w:widowControl w:val="0"/>
        <w:numPr>
          <w:ilvl w:val="0"/>
          <w:numId w:val="16"/>
        </w:numPr>
        <w:jc w:val="both"/>
        <w:rPr>
          <w:sz w:val="22"/>
          <w:szCs w:val="24"/>
          <w:lang w:val="fr-FR"/>
        </w:rPr>
      </w:pPr>
      <w:r w:rsidRPr="007F5ECF">
        <w:rPr>
          <w:sz w:val="22"/>
          <w:szCs w:val="24"/>
          <w:lang w:val="fr-FR"/>
        </w:rPr>
        <w:t xml:space="preserve">Les Associés, représentant l’intégralité du capital social souscrit, décident de nommer les personnes suivantes en tant que </w:t>
      </w:r>
      <w:r w:rsidRPr="007F5ECF">
        <w:rPr>
          <w:sz w:val="22"/>
          <w:szCs w:val="24"/>
          <w:lang w:val="fr-LU"/>
        </w:rPr>
        <w:t>Gérants</w:t>
      </w:r>
      <w:r w:rsidRPr="007F5ECF">
        <w:rPr>
          <w:sz w:val="22"/>
          <w:szCs w:val="24"/>
          <w:lang w:val="fr-FR"/>
        </w:rPr>
        <w:t xml:space="preserve"> de la </w:t>
      </w:r>
      <w:proofErr w:type="gramStart"/>
      <w:r w:rsidRPr="007F5ECF">
        <w:rPr>
          <w:sz w:val="22"/>
          <w:szCs w:val="24"/>
          <w:lang w:val="fr-FR"/>
        </w:rPr>
        <w:t>Société:</w:t>
      </w:r>
      <w:proofErr w:type="gramEnd"/>
    </w:p>
    <w:p w14:paraId="0DF2D18E" w14:textId="77777777" w:rsidR="00EC45B1" w:rsidRPr="007F5ECF" w:rsidRDefault="00000000">
      <w:pPr>
        <w:widowControl w:val="0"/>
        <w:numPr>
          <w:ilvl w:val="0"/>
          <w:numId w:val="17"/>
        </w:numPr>
        <w:tabs>
          <w:tab w:val="left" w:pos="1260"/>
        </w:tabs>
        <w:ind w:left="990" w:hanging="180"/>
        <w:contextualSpacing/>
        <w:jc w:val="both"/>
        <w:rPr>
          <w:color w:val="000000"/>
          <w:sz w:val="22"/>
          <w:szCs w:val="24"/>
          <w:lang w:val="fr-CH" w:eastAsia="fr-FR"/>
        </w:rPr>
      </w:pPr>
      <w:r w:rsidRPr="007F5ECF">
        <w:rPr>
          <w:b/>
          <w:sz w:val="22"/>
          <w:szCs w:val="24"/>
          <w:lang w:val="fr-CH"/>
        </w:rPr>
        <w:t>[</w:t>
      </w:r>
      <w:proofErr w:type="gramStart"/>
      <w:r w:rsidRPr="007F5ECF">
        <w:rPr>
          <w:b/>
          <w:sz w:val="22"/>
          <w:szCs w:val="24"/>
          <w:highlight w:val="yellow"/>
          <w:lang w:val="fr-CH"/>
        </w:rPr>
        <w:t>nom</w:t>
      </w:r>
      <w:proofErr w:type="gramEnd"/>
      <w:r w:rsidRPr="007F5ECF">
        <w:rPr>
          <w:b/>
          <w:sz w:val="22"/>
          <w:szCs w:val="24"/>
          <w:highlight w:val="yellow"/>
          <w:lang w:val="fr-CH"/>
        </w:rPr>
        <w:t xml:space="preserve"> complet</w:t>
      </w:r>
      <w:r w:rsidRPr="007F5ECF">
        <w:rPr>
          <w:b/>
          <w:sz w:val="22"/>
          <w:szCs w:val="24"/>
          <w:lang w:val="fr-CH"/>
        </w:rPr>
        <w:t>]</w:t>
      </w:r>
      <w:r w:rsidRPr="007F5ECF">
        <w:rPr>
          <w:sz w:val="22"/>
          <w:szCs w:val="24"/>
          <w:lang w:val="fr-CH"/>
        </w:rPr>
        <w:t>, né(</w:t>
      </w:r>
      <w:r w:rsidRPr="007F5ECF">
        <w:rPr>
          <w:sz w:val="22"/>
          <w:szCs w:val="24"/>
          <w:highlight w:val="yellow"/>
          <w:lang w:val="fr-CH"/>
        </w:rPr>
        <w:t>e</w:t>
      </w:r>
      <w:r w:rsidRPr="007F5ECF">
        <w:rPr>
          <w:sz w:val="22"/>
          <w:szCs w:val="24"/>
          <w:lang w:val="fr-CH"/>
        </w:rPr>
        <w:t>) le [</w:t>
      </w:r>
      <w:r w:rsidRPr="007F5ECF">
        <w:rPr>
          <w:sz w:val="22"/>
          <w:szCs w:val="24"/>
          <w:highlight w:val="yellow"/>
          <w:lang w:val="fr-CH"/>
        </w:rPr>
        <w:t>date de naissance</w:t>
      </w:r>
      <w:r w:rsidRPr="007F5ECF">
        <w:rPr>
          <w:sz w:val="22"/>
          <w:szCs w:val="24"/>
          <w:lang w:val="fr-CH"/>
        </w:rPr>
        <w:t>], à [</w:t>
      </w:r>
      <w:r w:rsidRPr="007F5ECF">
        <w:rPr>
          <w:sz w:val="22"/>
          <w:szCs w:val="24"/>
          <w:highlight w:val="yellow"/>
          <w:lang w:val="fr-CH"/>
        </w:rPr>
        <w:t>lieu de naissance</w:t>
      </w:r>
      <w:r w:rsidRPr="007F5ECF">
        <w:rPr>
          <w:sz w:val="22"/>
          <w:szCs w:val="24"/>
          <w:lang w:val="fr-CH"/>
        </w:rPr>
        <w:t>], avec adresse professionnelle au [</w:t>
      </w:r>
      <w:r w:rsidRPr="007F5ECF">
        <w:rPr>
          <w:sz w:val="22"/>
          <w:szCs w:val="24"/>
          <w:highlight w:val="yellow"/>
          <w:lang w:val="fr-CH"/>
        </w:rPr>
        <w:t>adresse complète</w:t>
      </w:r>
      <w:r w:rsidRPr="007F5ECF">
        <w:rPr>
          <w:sz w:val="22"/>
          <w:szCs w:val="24"/>
          <w:lang w:val="fr-CH"/>
        </w:rPr>
        <w:t>] ;</w:t>
      </w:r>
    </w:p>
    <w:p w14:paraId="375DDF98" w14:textId="77777777" w:rsidR="00EC45B1" w:rsidRPr="007F5ECF" w:rsidRDefault="00000000">
      <w:pPr>
        <w:widowControl w:val="0"/>
        <w:numPr>
          <w:ilvl w:val="0"/>
          <w:numId w:val="17"/>
        </w:numPr>
        <w:tabs>
          <w:tab w:val="left" w:pos="1260"/>
        </w:tabs>
        <w:ind w:left="990" w:hanging="180"/>
        <w:contextualSpacing/>
        <w:jc w:val="both"/>
        <w:rPr>
          <w:sz w:val="22"/>
          <w:szCs w:val="24"/>
          <w:lang w:val="fr-CH"/>
        </w:rPr>
      </w:pPr>
      <w:r w:rsidRPr="007F5ECF">
        <w:rPr>
          <w:b/>
          <w:sz w:val="22"/>
          <w:szCs w:val="24"/>
          <w:lang w:val="fr-CH"/>
        </w:rPr>
        <w:t>[</w:t>
      </w:r>
      <w:proofErr w:type="gramStart"/>
      <w:r w:rsidRPr="007F5ECF">
        <w:rPr>
          <w:b/>
          <w:sz w:val="22"/>
          <w:szCs w:val="24"/>
          <w:highlight w:val="yellow"/>
          <w:lang w:val="fr-CH"/>
        </w:rPr>
        <w:t>nom</w:t>
      </w:r>
      <w:proofErr w:type="gramEnd"/>
      <w:r w:rsidRPr="007F5ECF">
        <w:rPr>
          <w:b/>
          <w:sz w:val="22"/>
          <w:szCs w:val="24"/>
          <w:highlight w:val="yellow"/>
          <w:lang w:val="fr-CH"/>
        </w:rPr>
        <w:t xml:space="preserve"> complet</w:t>
      </w:r>
      <w:r w:rsidRPr="007F5ECF">
        <w:rPr>
          <w:b/>
          <w:sz w:val="22"/>
          <w:szCs w:val="24"/>
          <w:lang w:val="fr-CH"/>
        </w:rPr>
        <w:t>]</w:t>
      </w:r>
      <w:r w:rsidRPr="007F5ECF">
        <w:rPr>
          <w:sz w:val="22"/>
          <w:szCs w:val="24"/>
          <w:lang w:val="fr-CH"/>
        </w:rPr>
        <w:t xml:space="preserve">, </w:t>
      </w:r>
      <w:r w:rsidRPr="007F5ECF">
        <w:rPr>
          <w:b/>
          <w:sz w:val="22"/>
          <w:szCs w:val="24"/>
          <w:lang w:val="fr-CH"/>
        </w:rPr>
        <w:t>….</w:t>
      </w:r>
    </w:p>
    <w:p w14:paraId="2757AE1A" w14:textId="77777777" w:rsidR="00EC45B1" w:rsidRPr="007F5ECF" w:rsidRDefault="00EC45B1">
      <w:pPr>
        <w:widowControl w:val="0"/>
        <w:contextualSpacing/>
        <w:jc w:val="both"/>
        <w:rPr>
          <w:b/>
          <w:sz w:val="22"/>
          <w:szCs w:val="24"/>
          <w:lang w:val="fr-CH"/>
        </w:rPr>
      </w:pPr>
    </w:p>
    <w:p w14:paraId="69BED3CA" w14:textId="77777777" w:rsidR="00EC45B1" w:rsidRPr="007F5ECF" w:rsidRDefault="00000000">
      <w:pPr>
        <w:widowControl w:val="0"/>
        <w:contextualSpacing/>
        <w:jc w:val="both"/>
        <w:rPr>
          <w:sz w:val="22"/>
          <w:szCs w:val="24"/>
          <w:lang w:val="fr-CH"/>
        </w:rPr>
      </w:pPr>
      <w:r w:rsidRPr="007F5ECF">
        <w:rPr>
          <w:b/>
          <w:sz w:val="22"/>
          <w:szCs w:val="24"/>
          <w:lang w:val="fr-CH"/>
        </w:rPr>
        <w:t xml:space="preserve"> </w:t>
      </w:r>
      <w:r w:rsidRPr="007F5ECF">
        <w:rPr>
          <w:sz w:val="22"/>
          <w:szCs w:val="24"/>
          <w:lang w:val="fr-CH"/>
        </w:rPr>
        <w:t>La durée de leur mandat est illimitée.</w:t>
      </w:r>
    </w:p>
    <w:p w14:paraId="58CFDD00" w14:textId="77777777" w:rsidR="00EC45B1" w:rsidRPr="007F5ECF" w:rsidRDefault="00EC45B1">
      <w:pPr>
        <w:widowControl w:val="0"/>
        <w:contextualSpacing/>
        <w:jc w:val="both"/>
        <w:rPr>
          <w:sz w:val="22"/>
          <w:szCs w:val="24"/>
          <w:lang w:val="fr-CH"/>
        </w:rPr>
      </w:pPr>
    </w:p>
    <w:p w14:paraId="395E2311" w14:textId="77777777" w:rsidR="00EC45B1" w:rsidRPr="007F5ECF" w:rsidRDefault="00000000">
      <w:pPr>
        <w:widowControl w:val="0"/>
        <w:contextualSpacing/>
        <w:jc w:val="both"/>
        <w:rPr>
          <w:sz w:val="22"/>
          <w:szCs w:val="24"/>
          <w:lang w:val="fr-FR"/>
        </w:rPr>
      </w:pPr>
      <w:r w:rsidRPr="007F5ECF">
        <w:rPr>
          <w:sz w:val="22"/>
          <w:szCs w:val="24"/>
          <w:lang w:val="fr-FR"/>
        </w:rPr>
        <w:t>2) Les Associés décident de fixer le siège social au [</w:t>
      </w:r>
      <w:r w:rsidRPr="007F5ECF">
        <w:rPr>
          <w:sz w:val="22"/>
          <w:szCs w:val="24"/>
          <w:highlight w:val="yellow"/>
          <w:lang w:val="fr-FR"/>
        </w:rPr>
        <w:t>adresse complète</w:t>
      </w:r>
      <w:r w:rsidRPr="007F5ECF">
        <w:rPr>
          <w:sz w:val="22"/>
          <w:szCs w:val="24"/>
          <w:lang w:val="fr-FR"/>
        </w:rPr>
        <w:t>], Grand-Duché de Luxembourg.</w:t>
      </w:r>
    </w:p>
    <w:p w14:paraId="6B740363" w14:textId="77777777" w:rsidR="00EC45B1" w:rsidRDefault="00000000">
      <w:pPr>
        <w:pStyle w:val="Title3"/>
        <w:widowControl w:val="0"/>
        <w:spacing w:before="360" w:after="240"/>
        <w:contextualSpacing/>
        <w:rPr>
          <w:caps w:val="0"/>
          <w:szCs w:val="22"/>
          <w:lang w:val="fr-FR"/>
        </w:rPr>
      </w:pPr>
      <w:r>
        <w:rPr>
          <w:caps w:val="0"/>
          <w:szCs w:val="22"/>
          <w:lang w:val="fr-FR"/>
        </w:rPr>
        <w:t>DECLARATION</w:t>
      </w:r>
    </w:p>
    <w:p w14:paraId="5CB2E05A" w14:textId="77777777" w:rsidR="00EC45B1" w:rsidRPr="007F5ECF" w:rsidRDefault="00000000">
      <w:pPr>
        <w:widowControl w:val="0"/>
        <w:contextualSpacing/>
        <w:jc w:val="both"/>
        <w:rPr>
          <w:bCs/>
          <w:sz w:val="22"/>
          <w:szCs w:val="24"/>
          <w:lang w:val="fr-CH"/>
        </w:rPr>
      </w:pPr>
      <w:r w:rsidRPr="007F5ECF">
        <w:rPr>
          <w:bCs/>
          <w:sz w:val="22"/>
          <w:szCs w:val="24"/>
          <w:lang w:val="fr-CH"/>
        </w:rPr>
        <w:t xml:space="preserve">Le notaire soussigné qui comprend et parle la langue anglaise, déclare que sur la demande de la comparante, le présent acte est rédigé en langue anglaise suivi d’une version française ; à la demande de la même comparante et en cas de divergences entre la version anglaise et la version française, le </w:t>
      </w:r>
      <w:r w:rsidRPr="007F5ECF">
        <w:rPr>
          <w:b/>
          <w:sz w:val="22"/>
          <w:szCs w:val="24"/>
          <w:lang w:val="fr-CH"/>
        </w:rPr>
        <w:t>texte anglais</w:t>
      </w:r>
      <w:r w:rsidRPr="007F5ECF">
        <w:rPr>
          <w:bCs/>
          <w:sz w:val="22"/>
          <w:szCs w:val="24"/>
          <w:lang w:val="fr-CH"/>
        </w:rPr>
        <w:t xml:space="preserve"> fera foi.</w:t>
      </w:r>
    </w:p>
    <w:p w14:paraId="5555D268" w14:textId="77777777" w:rsidR="00EC45B1" w:rsidRPr="007F5ECF" w:rsidRDefault="00EC45B1">
      <w:pPr>
        <w:widowControl w:val="0"/>
        <w:contextualSpacing/>
        <w:jc w:val="both"/>
        <w:rPr>
          <w:bCs/>
          <w:sz w:val="22"/>
          <w:szCs w:val="24"/>
          <w:lang w:val="fr-CH"/>
        </w:rPr>
      </w:pPr>
    </w:p>
    <w:p w14:paraId="5875C755" w14:textId="77777777" w:rsidR="00EC45B1" w:rsidRDefault="00000000">
      <w:pPr>
        <w:pStyle w:val="BodyText"/>
        <w:widowControl w:val="0"/>
        <w:spacing w:after="0"/>
        <w:contextualSpacing/>
        <w:jc w:val="both"/>
        <w:rPr>
          <w:bCs/>
          <w:szCs w:val="22"/>
          <w:lang w:val="fr-CH"/>
        </w:rPr>
      </w:pPr>
      <w:r>
        <w:rPr>
          <w:bCs/>
          <w:i/>
          <w:color w:val="000000"/>
          <w:sz w:val="22"/>
          <w:szCs w:val="22"/>
          <w:shd w:val="clear" w:color="auto" w:fill="00FFFF"/>
          <w:lang w:val="fr-CH"/>
        </w:rPr>
        <w:t>Clause à inclure dans le cas où le capital est libéré dans les 12 mois suivant la date de</w:t>
      </w:r>
      <w:r>
        <w:rPr>
          <w:bCs/>
          <w:color w:val="000000"/>
          <w:szCs w:val="22"/>
          <w:shd w:val="clear" w:color="auto" w:fill="00FFFF"/>
          <w:lang w:val="fr-CH"/>
        </w:rPr>
        <w:t xml:space="preserve"> </w:t>
      </w:r>
      <w:r>
        <w:rPr>
          <w:bCs/>
          <w:i/>
          <w:color w:val="000000"/>
          <w:sz w:val="22"/>
          <w:szCs w:val="22"/>
          <w:shd w:val="clear" w:color="auto" w:fill="00FFFF"/>
          <w:lang w:val="fr-CH"/>
        </w:rPr>
        <w:t xml:space="preserve">constitution </w:t>
      </w:r>
      <w:proofErr w:type="gramStart"/>
      <w:r>
        <w:rPr>
          <w:bCs/>
          <w:i/>
          <w:color w:val="000000"/>
          <w:sz w:val="22"/>
          <w:szCs w:val="22"/>
          <w:shd w:val="clear" w:color="auto" w:fill="00FFFF"/>
          <w:vertAlign w:val="superscript"/>
          <w:lang w:val="fr-CH"/>
        </w:rPr>
        <w:t>19:</w:t>
      </w:r>
      <w:proofErr w:type="gramEnd"/>
    </w:p>
    <w:p w14:paraId="396CE2C5" w14:textId="77777777" w:rsidR="00EC45B1" w:rsidRDefault="00000000">
      <w:pPr>
        <w:pStyle w:val="BodyText"/>
        <w:widowControl w:val="0"/>
        <w:spacing w:after="0"/>
        <w:jc w:val="both"/>
        <w:rPr>
          <w:bCs/>
          <w:szCs w:val="22"/>
          <w:lang w:val="fr-CH"/>
        </w:rPr>
      </w:pPr>
      <w:r>
        <w:rPr>
          <w:bCs/>
          <w:color w:val="000000"/>
          <w:sz w:val="22"/>
          <w:szCs w:val="22"/>
          <w:shd w:val="clear" w:color="auto" w:fill="00FFFF"/>
          <w:lang w:val="fr-CH"/>
        </w:rPr>
        <w:t>[</w:t>
      </w:r>
      <w:r>
        <w:rPr>
          <w:bCs/>
          <w:color w:val="000000"/>
          <w:sz w:val="22"/>
          <w:szCs w:val="22"/>
          <w:lang w:val="fr-CH"/>
        </w:rPr>
        <w:t>Le notaire déclare que les conditions prévues aux articles 710-6 et 710-7 de la loi du 10 août 1915 sur les sociétés commerciales, telle que modifiée, ont été respectées et attire, à cet égard, l'attention des Associés sur les dispositions de l'article 710-7, paragraphe 5, aux termes duquel « les actionnaires sont, nonobstant toute disposition contraire des présents statuts, responsables à concurrence du montant de leurs actions</w:t>
      </w:r>
      <w:proofErr w:type="gramStart"/>
      <w:r>
        <w:rPr>
          <w:bCs/>
          <w:color w:val="000000"/>
          <w:sz w:val="22"/>
          <w:szCs w:val="22"/>
          <w:lang w:val="fr-CH"/>
        </w:rPr>
        <w:t>.</w:t>
      </w:r>
      <w:r>
        <w:rPr>
          <w:bCs/>
          <w:color w:val="000000"/>
          <w:szCs w:val="22"/>
          <w:shd w:val="clear" w:color="auto" w:fill="00FFFF"/>
          <w:lang w:val="fr-CH"/>
        </w:rPr>
        <w:t> </w:t>
      </w:r>
      <w:r>
        <w:rPr>
          <w:bCs/>
          <w:color w:val="000000"/>
          <w:sz w:val="22"/>
          <w:szCs w:val="22"/>
          <w:shd w:val="clear" w:color="auto" w:fill="00FFFF"/>
          <w:lang w:val="fr-CH"/>
        </w:rPr>
        <w:t>]</w:t>
      </w:r>
      <w:proofErr w:type="gramEnd"/>
    </w:p>
    <w:p w14:paraId="21445FB5" w14:textId="77777777" w:rsidR="00EC45B1" w:rsidRDefault="00000000">
      <w:pPr>
        <w:pStyle w:val="Title3"/>
        <w:widowControl w:val="0"/>
        <w:spacing w:before="360" w:after="240"/>
        <w:contextualSpacing/>
        <w:rPr>
          <w:bCs/>
          <w:caps w:val="0"/>
          <w:szCs w:val="22"/>
          <w:lang w:val="fr-FR"/>
        </w:rPr>
      </w:pPr>
      <w:r>
        <w:rPr>
          <w:bCs/>
          <w:caps w:val="0"/>
          <w:szCs w:val="22"/>
          <w:lang w:val="fr-FR"/>
        </w:rPr>
        <w:t>FRAIS</w:t>
      </w:r>
    </w:p>
    <w:p w14:paraId="571868D0" w14:textId="77777777" w:rsidR="00EC45B1" w:rsidRDefault="00000000">
      <w:pPr>
        <w:widowControl w:val="0"/>
        <w:contextualSpacing/>
        <w:jc w:val="both"/>
        <w:rPr>
          <w:szCs w:val="22"/>
          <w:lang w:val="fr-LU"/>
        </w:rPr>
      </w:pPr>
      <w:r>
        <w:rPr>
          <w:szCs w:val="22"/>
          <w:lang w:val="fr-FR"/>
        </w:rPr>
        <w:t xml:space="preserve">Les frais, dépenses, rémunérations et charges sous quelque forme que ce soit, incombant à la Société et mis à sa charge à raison des présentes, sont évalués sans nul préjudice à la somme de </w:t>
      </w:r>
      <w:r>
        <w:rPr>
          <w:szCs w:val="22"/>
          <w:lang w:val="fr-LU"/>
        </w:rPr>
        <w:t>EUR [</w:t>
      </w:r>
      <w:r>
        <w:rPr>
          <w:szCs w:val="22"/>
          <w:highlight w:val="yellow"/>
          <w:lang w:val="fr-LU"/>
        </w:rPr>
        <w:t>montant</w:t>
      </w:r>
      <w:r>
        <w:rPr>
          <w:szCs w:val="22"/>
          <w:lang w:val="fr-LU"/>
        </w:rPr>
        <w:t>].</w:t>
      </w:r>
    </w:p>
    <w:p w14:paraId="5E79C708" w14:textId="77777777" w:rsidR="00EC45B1" w:rsidRDefault="00EC45B1">
      <w:pPr>
        <w:widowControl w:val="0"/>
        <w:contextualSpacing/>
        <w:jc w:val="both"/>
        <w:rPr>
          <w:bCs/>
          <w:szCs w:val="22"/>
          <w:lang w:val="fr-LU"/>
        </w:rPr>
      </w:pPr>
    </w:p>
    <w:p w14:paraId="00D56516" w14:textId="77777777" w:rsidR="00EC45B1" w:rsidRDefault="00000000">
      <w:pPr>
        <w:pStyle w:val="BodyText"/>
        <w:widowControl w:val="0"/>
        <w:spacing w:after="0"/>
        <w:contextualSpacing/>
        <w:jc w:val="both"/>
        <w:rPr>
          <w:bCs/>
          <w:szCs w:val="22"/>
          <w:lang w:val="fr-CH"/>
        </w:rPr>
      </w:pPr>
      <w:r>
        <w:rPr>
          <w:bCs/>
          <w:i/>
          <w:color w:val="000000"/>
          <w:sz w:val="22"/>
          <w:szCs w:val="22"/>
          <w:shd w:val="clear" w:color="auto" w:fill="00FFFF"/>
          <w:lang w:val="fr-CH"/>
        </w:rPr>
        <w:t>Clause à inclure dans le cas où le capital est libéré dans les 12 mois suivant la date de</w:t>
      </w:r>
      <w:r>
        <w:rPr>
          <w:bCs/>
          <w:color w:val="000000"/>
          <w:szCs w:val="22"/>
          <w:shd w:val="clear" w:color="auto" w:fill="00FFFF"/>
          <w:lang w:val="fr-CH"/>
        </w:rPr>
        <w:t xml:space="preserve"> </w:t>
      </w:r>
      <w:r>
        <w:rPr>
          <w:bCs/>
          <w:i/>
          <w:color w:val="000000"/>
          <w:sz w:val="22"/>
          <w:szCs w:val="22"/>
          <w:shd w:val="clear" w:color="auto" w:fill="00FFFF"/>
          <w:lang w:val="fr-CH"/>
        </w:rPr>
        <w:t>constitution</w:t>
      </w:r>
      <w:r>
        <w:rPr>
          <w:rStyle w:val="FootnoteReference"/>
          <w:bCs/>
          <w:i/>
          <w:color w:val="000000"/>
          <w:sz w:val="22"/>
          <w:szCs w:val="22"/>
          <w:shd w:val="clear" w:color="auto" w:fill="00FFFF"/>
          <w:lang w:val="fr-CH"/>
        </w:rPr>
        <w:footnoteReference w:id="20"/>
      </w:r>
      <w:r>
        <w:rPr>
          <w:bCs/>
          <w:color w:val="000000"/>
          <w:szCs w:val="22"/>
          <w:shd w:val="clear" w:color="auto" w:fill="00FFFF"/>
          <w:lang w:val="fr-CH"/>
        </w:rPr>
        <w:t> </w:t>
      </w:r>
      <w:r>
        <w:rPr>
          <w:bCs/>
          <w:i/>
          <w:color w:val="000000"/>
          <w:sz w:val="22"/>
          <w:szCs w:val="22"/>
          <w:shd w:val="clear" w:color="auto" w:fill="00FFFF"/>
          <w:lang w:val="fr-CH"/>
        </w:rPr>
        <w:t>:</w:t>
      </w:r>
    </w:p>
    <w:p w14:paraId="1593B50B" w14:textId="77777777" w:rsidR="00EC45B1" w:rsidRDefault="00000000">
      <w:pPr>
        <w:pStyle w:val="BodyText"/>
        <w:widowControl w:val="0"/>
        <w:spacing w:after="0"/>
        <w:jc w:val="both"/>
        <w:rPr>
          <w:bCs/>
          <w:szCs w:val="22"/>
          <w:lang w:val="fr-CH"/>
        </w:rPr>
      </w:pPr>
      <w:r>
        <w:rPr>
          <w:bCs/>
          <w:color w:val="000000"/>
          <w:sz w:val="22"/>
          <w:szCs w:val="22"/>
          <w:shd w:val="clear" w:color="auto" w:fill="00FFFF"/>
          <w:lang w:val="fr-CH"/>
        </w:rPr>
        <w:t>[</w:t>
      </w:r>
      <w:r>
        <w:rPr>
          <w:bCs/>
          <w:color w:val="000000"/>
          <w:sz w:val="22"/>
          <w:szCs w:val="22"/>
          <w:lang w:val="fr-CH"/>
        </w:rPr>
        <w:t>À l'égard du notaire soussigné, les Associés, tous les gérants et les parties requérantes seront solidairement tenus au paiement de tous les honoraires et frais découlant du présent acte, ce qu'ils reconnaissent expressément</w:t>
      </w:r>
      <w:proofErr w:type="gramStart"/>
      <w:r>
        <w:rPr>
          <w:bCs/>
          <w:color w:val="000000"/>
          <w:sz w:val="22"/>
          <w:szCs w:val="22"/>
          <w:lang w:val="fr-CH"/>
        </w:rPr>
        <w:t>.</w:t>
      </w:r>
      <w:r>
        <w:rPr>
          <w:bCs/>
          <w:color w:val="000000"/>
          <w:szCs w:val="22"/>
          <w:shd w:val="clear" w:color="auto" w:fill="00FFFF"/>
          <w:lang w:val="fr-CH"/>
        </w:rPr>
        <w:t> </w:t>
      </w:r>
      <w:r>
        <w:rPr>
          <w:bCs/>
          <w:color w:val="000000"/>
          <w:sz w:val="22"/>
          <w:szCs w:val="22"/>
          <w:shd w:val="clear" w:color="auto" w:fill="00FFFF"/>
          <w:lang w:val="fr-CH"/>
        </w:rPr>
        <w:t>]</w:t>
      </w:r>
      <w:proofErr w:type="gramEnd"/>
    </w:p>
    <w:p w14:paraId="5E951560" w14:textId="77777777" w:rsidR="00EC45B1" w:rsidRDefault="00EC45B1">
      <w:pPr>
        <w:widowControl w:val="0"/>
        <w:contextualSpacing/>
        <w:jc w:val="both"/>
        <w:rPr>
          <w:bCs/>
          <w:szCs w:val="22"/>
          <w:lang w:val="fr-CH"/>
        </w:rPr>
      </w:pPr>
    </w:p>
    <w:p w14:paraId="68720874" w14:textId="77777777" w:rsidR="00EC45B1" w:rsidRDefault="00EC45B1">
      <w:pPr>
        <w:widowControl w:val="0"/>
        <w:contextualSpacing/>
        <w:jc w:val="both"/>
        <w:rPr>
          <w:bCs/>
          <w:szCs w:val="22"/>
          <w:lang w:val="fr-CH"/>
        </w:rPr>
      </w:pPr>
    </w:p>
    <w:p w14:paraId="79BB4792" w14:textId="77777777" w:rsidR="00EC45B1" w:rsidRDefault="00EC45B1">
      <w:pPr>
        <w:widowControl w:val="0"/>
        <w:contextualSpacing/>
        <w:jc w:val="both"/>
        <w:rPr>
          <w:bCs/>
          <w:szCs w:val="22"/>
          <w:lang w:val="fr-CH"/>
        </w:rPr>
      </w:pPr>
    </w:p>
    <w:p w14:paraId="20B59F6E" w14:textId="77777777" w:rsidR="00EC45B1" w:rsidRDefault="00000000">
      <w:pPr>
        <w:pBdr>
          <w:top w:val="single" w:sz="4" w:space="4" w:color="CCCCCC"/>
        </w:pBdr>
        <w:spacing w:before="240" w:after="60"/>
      </w:pPr>
      <w:r>
        <w:rPr>
          <w:b/>
          <w:bCs/>
          <w:color w:val="1F3864"/>
        </w:rPr>
        <w:t>Disclaimer</w:t>
      </w:r>
    </w:p>
    <w:p w14:paraId="72B20E4F" w14:textId="77777777" w:rsidR="00EC45B1" w:rsidRDefault="00000000">
      <w:pPr>
        <w:spacing w:before="60" w:after="40"/>
        <w:rPr>
          <w:color w:val="555555"/>
          <w:sz w:val="18"/>
          <w:szCs w:val="18"/>
        </w:rPr>
      </w:pPr>
      <w:r>
        <w:rPr>
          <w:color w:val="555555"/>
          <w:sz w:val="18"/>
          <w:szCs w:val="18"/>
        </w:rPr>
        <w:t>This template is a non-binding preparatory document which is provided for general informational purposes only. While we strive to keep the information up to date and correct, we make no representations or warranties of any kind, express or implied, about the completeness, accuracy, or suitability of the template for your specific circumstances.</w:t>
      </w:r>
    </w:p>
    <w:p w14:paraId="33DBD440" w14:textId="77777777" w:rsidR="00EC45B1" w:rsidRDefault="00000000">
      <w:pPr>
        <w:spacing w:before="60" w:after="40"/>
        <w:rPr>
          <w:color w:val="555555"/>
          <w:sz w:val="18"/>
          <w:szCs w:val="18"/>
        </w:rPr>
      </w:pPr>
      <w:r>
        <w:rPr>
          <w:color w:val="555555"/>
          <w:sz w:val="18"/>
          <w:szCs w:val="18"/>
        </w:rPr>
        <w:t>Any reliance you place on such information is strictly at your own risk. The information provided does not constitute legal, financial, or professional advice. Use of this template does not absolve the user of the need to seek assistance from a qualified legal advisor or professional if required. We strongly recommend consulting with a licensed attorney in your jurisdiction to ensure any legal document meets your specific needs and complies with applicable laws.</w:t>
      </w:r>
    </w:p>
    <w:p w14:paraId="136A764A" w14:textId="77777777" w:rsidR="00EC45B1" w:rsidRDefault="00000000">
      <w:pPr>
        <w:spacing w:before="60" w:after="40"/>
        <w:rPr>
          <w:rFonts w:cstheme="minorHAnsi"/>
        </w:rPr>
      </w:pPr>
      <w:r>
        <w:rPr>
          <w:color w:val="555555"/>
          <w:sz w:val="18"/>
          <w:szCs w:val="18"/>
        </w:rPr>
        <w:t>In no event will GAMS be liable for any loss or damage arising out of, or in connection with, the use of this template.</w:t>
      </w:r>
    </w:p>
    <w:sectPr w:rsidR="00EC45B1">
      <w:headerReference w:type="even" r:id="rId11"/>
      <w:headerReference w:type="default" r:id="rId12"/>
      <w:footerReference w:type="even" r:id="rId13"/>
      <w:footerReference w:type="default" r:id="rId14"/>
      <w:headerReference w:type="first" r:id="rId15"/>
      <w:footerReference w:type="first" r:id="rId16"/>
      <w:pgSz w:w="12240" w:h="15840"/>
      <w:pgMar w:top="1296" w:right="1296" w:bottom="1296" w:left="129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79DD8" w14:textId="77777777" w:rsidR="00C026BE" w:rsidRDefault="00C026BE">
      <w:r>
        <w:separator/>
      </w:r>
    </w:p>
  </w:endnote>
  <w:endnote w:type="continuationSeparator" w:id="0">
    <w:p w14:paraId="7EAF2451" w14:textId="77777777" w:rsidR="00C026BE" w:rsidRDefault="00C02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charset w:val="00"/>
    <w:family w:val="auto"/>
    <w:pitch w:val="default"/>
  </w:font>
  <w:font w:name="Noto Sans CJK SC">
    <w:charset w:val="00"/>
    <w:family w:val="auto"/>
    <w:pitch w:val="default"/>
  </w:font>
  <w:font w:name="FreeSan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5AAD8" w14:textId="77777777" w:rsidR="00EC45B1" w:rsidRDefault="00000000">
    <w:pPr>
      <w:pBdr>
        <w:top w:val="single" w:sz="4" w:space="4" w:color="CCCCCC"/>
      </w:pBdr>
      <w:tabs>
        <w:tab w:val="right" w:pos="9648"/>
      </w:tabs>
    </w:pPr>
    <w:r>
      <w:rPr>
        <w:color w:val="808080"/>
        <w:sz w:val="18"/>
        <w:szCs w:val="18"/>
      </w:rPr>
      <w:t>Luxembourg Incorporation Guide</w:t>
    </w:r>
    <w:r>
      <w:rPr>
        <w:color w:val="808080"/>
        <w:sz w:val="18"/>
        <w:szCs w:val="18"/>
      </w:rPr>
      <w:tab/>
      <w:t xml:space="preserve">Page </w:t>
    </w:r>
    <w:r>
      <w:rPr>
        <w:color w:val="808080"/>
        <w:sz w:val="18"/>
        <w:szCs w:val="18"/>
      </w:rPr>
      <w:fldChar w:fldCharType="begin"/>
    </w:r>
    <w:r>
      <w:rPr>
        <w:color w:val="808080"/>
        <w:sz w:val="18"/>
        <w:szCs w:val="18"/>
      </w:rPr>
      <w:instrText xml:space="preserve"> PAGE </w:instrText>
    </w:r>
    <w:r>
      <w:rPr>
        <w:color w:val="808080"/>
        <w:sz w:val="18"/>
        <w:szCs w:val="18"/>
      </w:rPr>
      <w:fldChar w:fldCharType="separate"/>
    </w:r>
    <w:r>
      <w:rPr>
        <w:color w:val="808080"/>
        <w:sz w:val="18"/>
        <w:szCs w:val="18"/>
      </w:rPr>
      <w:t>0</w:t>
    </w:r>
    <w:r>
      <w:rPr>
        <w:color w:val="80808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05979" w14:textId="77777777" w:rsidR="00EC45B1" w:rsidRDefault="00000000">
    <w:pPr>
      <w:pBdr>
        <w:top w:val="single" w:sz="4" w:space="4" w:color="CCCCCC"/>
      </w:pBdr>
      <w:tabs>
        <w:tab w:val="right" w:pos="9648"/>
      </w:tabs>
    </w:pPr>
    <w:r>
      <w:rPr>
        <w:color w:val="808080"/>
        <w:sz w:val="18"/>
        <w:szCs w:val="18"/>
      </w:rPr>
      <w:t>Luxembourg Incorporation Guide</w:t>
    </w:r>
    <w:r>
      <w:rPr>
        <w:color w:val="808080"/>
        <w:sz w:val="18"/>
        <w:szCs w:val="18"/>
      </w:rPr>
      <w:tab/>
      <w:t xml:space="preserve">Page </w:t>
    </w:r>
    <w:r>
      <w:rPr>
        <w:color w:val="808080"/>
        <w:sz w:val="18"/>
        <w:szCs w:val="18"/>
      </w:rPr>
      <w:fldChar w:fldCharType="begin"/>
    </w:r>
    <w:r>
      <w:rPr>
        <w:color w:val="808080"/>
        <w:sz w:val="18"/>
        <w:szCs w:val="18"/>
      </w:rPr>
      <w:instrText xml:space="preserve"> PAGE </w:instrText>
    </w:r>
    <w:r>
      <w:rPr>
        <w:color w:val="808080"/>
        <w:sz w:val="18"/>
        <w:szCs w:val="18"/>
      </w:rPr>
      <w:fldChar w:fldCharType="separate"/>
    </w:r>
    <w:r>
      <w:rPr>
        <w:color w:val="808080"/>
        <w:sz w:val="18"/>
        <w:szCs w:val="18"/>
      </w:rPr>
      <w:t>36</w:t>
    </w:r>
    <w:r>
      <w:rPr>
        <w:color w:val="80808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4B8B2" w14:textId="77777777" w:rsidR="00EC45B1" w:rsidRDefault="00000000">
    <w:pPr>
      <w:pBdr>
        <w:top w:val="single" w:sz="4" w:space="4" w:color="CCCCCC"/>
      </w:pBdr>
      <w:tabs>
        <w:tab w:val="right" w:pos="9648"/>
      </w:tabs>
    </w:pPr>
    <w:r>
      <w:rPr>
        <w:color w:val="808080"/>
        <w:sz w:val="18"/>
        <w:szCs w:val="18"/>
      </w:rPr>
      <w:t>Luxembourg Incorporation Guide</w:t>
    </w:r>
    <w:r>
      <w:rPr>
        <w:color w:val="808080"/>
        <w:sz w:val="18"/>
        <w:szCs w:val="18"/>
      </w:rPr>
      <w:tab/>
      <w:t xml:space="preserve">Page </w:t>
    </w:r>
    <w:r>
      <w:rPr>
        <w:color w:val="808080"/>
        <w:sz w:val="18"/>
        <w:szCs w:val="18"/>
      </w:rPr>
      <w:fldChar w:fldCharType="begin"/>
    </w:r>
    <w:r>
      <w:rPr>
        <w:color w:val="808080"/>
        <w:sz w:val="18"/>
        <w:szCs w:val="18"/>
      </w:rPr>
      <w:instrText xml:space="preserve"> PAGE </w:instrText>
    </w:r>
    <w:r>
      <w:rPr>
        <w:color w:val="808080"/>
        <w:sz w:val="18"/>
        <w:szCs w:val="18"/>
      </w:rPr>
      <w:fldChar w:fldCharType="separate"/>
    </w:r>
    <w:r>
      <w:rPr>
        <w:color w:val="808080"/>
        <w:sz w:val="18"/>
        <w:szCs w:val="18"/>
      </w:rPr>
      <w:t>36</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85030" w14:textId="77777777" w:rsidR="00C026BE" w:rsidRDefault="00C026BE">
      <w:pPr>
        <w:rPr>
          <w:sz w:val="12"/>
        </w:rPr>
      </w:pPr>
      <w:r>
        <w:separator/>
      </w:r>
    </w:p>
  </w:footnote>
  <w:footnote w:type="continuationSeparator" w:id="0">
    <w:p w14:paraId="16293F20" w14:textId="77777777" w:rsidR="00C026BE" w:rsidRDefault="00C026BE">
      <w:pPr>
        <w:rPr>
          <w:sz w:val="12"/>
        </w:rPr>
      </w:pPr>
      <w:r>
        <w:continuationSeparator/>
      </w:r>
    </w:p>
  </w:footnote>
  <w:footnote w:id="1">
    <w:p w14:paraId="1130A4A3" w14:textId="77777777" w:rsidR="00EC45B1" w:rsidRDefault="00000000">
      <w:pPr>
        <w:pStyle w:val="FootnoteText"/>
      </w:pPr>
      <w:r>
        <w:rPr>
          <w:rStyle w:val="FootnoteCharacters"/>
        </w:rPr>
        <w:footnoteRef/>
      </w:r>
      <w:r>
        <w:t xml:space="preserve"> </w:t>
      </w:r>
      <w:r>
        <w:rPr>
          <w:rFonts w:cstheme="minorHAnsi"/>
        </w:rPr>
        <w:t>The term “Shareholder” may also be used instead of “Partner”. In that case apply the chosen term throughout the document</w:t>
      </w:r>
      <w:r>
        <w:t>.</w:t>
      </w:r>
    </w:p>
  </w:footnote>
  <w:footnote w:id="2">
    <w:p w14:paraId="1228BF2F" w14:textId="77777777" w:rsidR="00EC45B1" w:rsidRDefault="00000000">
      <w:pPr>
        <w:rPr>
          <w:sz w:val="22"/>
        </w:rPr>
      </w:pPr>
      <w:r>
        <w:rPr>
          <w:rStyle w:val="FootnoteCharacters"/>
        </w:rPr>
        <w:footnoteRef/>
      </w:r>
      <w:r>
        <w:t xml:space="preserve"> </w:t>
      </w:r>
      <w:r>
        <w:rPr>
          <w:rFonts w:cstheme="minorHAnsi"/>
        </w:rPr>
        <w:t xml:space="preserve">Select ONE corporate object and delete the other examples before the deed. Align with the actual activity and the business </w:t>
      </w:r>
      <w:proofErr w:type="spellStart"/>
      <w:r>
        <w:rPr>
          <w:rFonts w:cstheme="minorHAnsi"/>
        </w:rPr>
        <w:t>licence</w:t>
      </w:r>
      <w:proofErr w:type="spellEnd"/>
      <w:r>
        <w:rPr>
          <w:rFonts w:cstheme="minorHAnsi"/>
        </w:rPr>
        <w:t xml:space="preserve"> (Tech / AI Act / EMI / PI / SaaS). A cumulative object risks incoherence and rejection at RCS filing.</w:t>
      </w:r>
    </w:p>
    <w:p w14:paraId="403B29DE" w14:textId="77777777" w:rsidR="00EC45B1" w:rsidRDefault="00EC45B1"/>
  </w:footnote>
  <w:footnote w:id="3">
    <w:p w14:paraId="38C2018A" w14:textId="77777777" w:rsidR="00EC45B1" w:rsidRDefault="00000000">
      <w:pPr>
        <w:pStyle w:val="AoALevel3Article11"/>
        <w:widowControl w:val="0"/>
        <w:numPr>
          <w:ilvl w:val="0"/>
          <w:numId w:val="0"/>
        </w:numPr>
        <w:spacing w:after="0"/>
        <w:contextualSpacing/>
        <w:rPr>
          <w:rFonts w:cstheme="minorHAnsi"/>
          <w:bCs w:val="0"/>
          <w:sz w:val="20"/>
          <w:szCs w:val="20"/>
        </w:rPr>
      </w:pPr>
      <w:r>
        <w:rPr>
          <w:rStyle w:val="FootnoteCharacters"/>
        </w:rPr>
        <w:footnoteRef/>
      </w:r>
      <w:r>
        <w:rPr>
          <w:rFonts w:cstheme="minorHAnsi"/>
          <w:bCs w:val="0"/>
          <w:sz w:val="20"/>
          <w:szCs w:val="20"/>
        </w:rPr>
        <w:t>Optional provision related to Deferred liberation of the minimum share capital (option, cash contributions only). Law of 18 May 2026; arts 710-6, 710-7, 720-4.</w:t>
      </w:r>
    </w:p>
  </w:footnote>
  <w:footnote w:id="4">
    <w:p w14:paraId="05C1E773" w14:textId="77777777" w:rsidR="00EC45B1" w:rsidRDefault="00000000">
      <w:pPr>
        <w:pStyle w:val="FootnoteText"/>
      </w:pPr>
      <w:r>
        <w:rPr>
          <w:rStyle w:val="FootnoteCharacters"/>
        </w:rPr>
        <w:footnoteRef/>
      </w:r>
      <w:r>
        <w:t xml:space="preserve"> </w:t>
      </w:r>
      <w:r>
        <w:rPr>
          <w:rFonts w:cstheme="minorHAnsi"/>
        </w:rPr>
        <w:t>In case of share capital with classes of shares, section H. DEFINITIONS shall be included in the articles of incorporation.</w:t>
      </w:r>
    </w:p>
  </w:footnote>
  <w:footnote w:id="5">
    <w:p w14:paraId="7AD8D1DC" w14:textId="77777777" w:rsidR="00EC45B1" w:rsidRDefault="00000000">
      <w:pPr>
        <w:rPr>
          <w:sz w:val="22"/>
        </w:rPr>
      </w:pPr>
      <w:r>
        <w:rPr>
          <w:rStyle w:val="FootnoteCharacters"/>
        </w:rPr>
        <w:footnoteRef/>
      </w:r>
      <w:r>
        <w:t xml:space="preserve"> </w:t>
      </w:r>
      <w:r>
        <w:rPr>
          <w:color w:val="000000"/>
        </w:rPr>
        <w:t>Transfer to third parties set at HALF. Statutory default (art. 710-12) = 3/4, deductible to 50% (floor): 1/2 is lawful only if a deliberate choice. Confirm 1/2 vs 3/4 and align with any shareholders' agreement / pre-emption clause.</w:t>
      </w:r>
    </w:p>
  </w:footnote>
  <w:footnote w:id="6">
    <w:p w14:paraId="6AF7CFC4" w14:textId="77777777" w:rsidR="00EC45B1" w:rsidRDefault="00000000">
      <w:pPr>
        <w:pStyle w:val="FootnoteText"/>
      </w:pPr>
      <w:r>
        <w:rPr>
          <w:rStyle w:val="FootnoteCharacters"/>
        </w:rPr>
        <w:footnoteRef/>
      </w:r>
      <w:proofErr w:type="gramStart"/>
      <w:r>
        <w:t>Cross-check</w:t>
      </w:r>
      <w:proofErr w:type="gramEnd"/>
      <w:r>
        <w:t xml:space="preserve"> that any reference to certain articles in the document are correct in case the number of articles change.</w:t>
      </w:r>
    </w:p>
  </w:footnote>
  <w:footnote w:id="7">
    <w:p w14:paraId="3FEA934E" w14:textId="77777777" w:rsidR="00EC45B1" w:rsidRDefault="00000000">
      <w:pPr>
        <w:rPr>
          <w:sz w:val="22"/>
        </w:rPr>
      </w:pPr>
      <w:r>
        <w:rPr>
          <w:rStyle w:val="FootnoteCharacters"/>
        </w:rPr>
        <w:footnoteRef/>
      </w:r>
      <w:r>
        <w:t xml:space="preserve"> </w:t>
      </w:r>
      <w:r>
        <w:rPr>
          <w:color w:val="000000"/>
        </w:rPr>
        <w:t xml:space="preserve">Transfer on death: approval governed by art. 710-12 §2 (default = 3/4 of survivors); check potential reduction. Keep the </w:t>
      </w:r>
      <w:proofErr w:type="gramStart"/>
      <w:r>
        <w:rPr>
          <w:color w:val="000000"/>
        </w:rPr>
        <w:t>reserved-heirs</w:t>
      </w:r>
      <w:proofErr w:type="gramEnd"/>
      <w:r>
        <w:rPr>
          <w:color w:val="000000"/>
        </w:rPr>
        <w:t xml:space="preserve"> / spouse exceptions. NB: art. 710-13 = enforceability of transfers (art. 1690 Civil Code), not the approval. To be validated with the notary.</w:t>
      </w:r>
    </w:p>
  </w:footnote>
  <w:footnote w:id="8">
    <w:p w14:paraId="2521EFFA" w14:textId="77777777" w:rsidR="00EC45B1" w:rsidRDefault="00000000">
      <w:r>
        <w:rPr>
          <w:rStyle w:val="FootnoteCharacters"/>
        </w:rPr>
        <w:footnoteRef/>
      </w:r>
      <w:r>
        <w:t xml:space="preserve"> </w:t>
      </w:r>
      <w:r>
        <w:rPr>
          <w:color w:val="000000"/>
        </w:rPr>
        <w:t xml:space="preserve">Structural choice: pre-emption in the ARTICLES (enforceable </w:t>
      </w:r>
      <w:proofErr w:type="spellStart"/>
      <w:r>
        <w:rPr>
          <w:color w:val="000000"/>
        </w:rPr>
        <w:t>erga</w:t>
      </w:r>
      <w:proofErr w:type="spellEnd"/>
      <w:r>
        <w:rPr>
          <w:color w:val="000000"/>
        </w:rPr>
        <w:t xml:space="preserve"> omnes, against the transferee) or in a SHAREHOLDERS' AGREEMENT (confidential, inter partes only). “shall” wording + defined terms (Transferring Shareholder, Proportionate Entitlement…) require the Definitions section. Decide and articulate.</w:t>
      </w:r>
    </w:p>
    <w:p w14:paraId="22001F17" w14:textId="77777777" w:rsidR="00EC45B1" w:rsidRDefault="00EC45B1"/>
  </w:footnote>
  <w:footnote w:id="9">
    <w:p w14:paraId="79B583F4" w14:textId="77777777" w:rsidR="00EC45B1" w:rsidRDefault="00000000">
      <w:pPr>
        <w:pStyle w:val="FootnoteText"/>
      </w:pPr>
      <w:r>
        <w:rPr>
          <w:rStyle w:val="FootnoteCharacters"/>
        </w:rPr>
        <w:footnoteRef/>
      </w:r>
      <w:r>
        <w:rPr>
          <w:rFonts w:cstheme="minorHAnsi"/>
        </w:rPr>
        <w:t>New deferred payment mechanism of the minimum share capital permitted by the new law of 18 May 2026 amending the amended law of 10 August 1915. To be validated by the notary.</w:t>
      </w:r>
    </w:p>
  </w:footnote>
  <w:footnote w:id="10">
    <w:p w14:paraId="4394163C" w14:textId="77777777" w:rsidR="00EC45B1" w:rsidRDefault="00000000">
      <w:pPr>
        <w:pStyle w:val="BodyText"/>
        <w:widowControl w:val="0"/>
        <w:jc w:val="both"/>
        <w:rPr>
          <w:rFonts w:cstheme="minorHAnsi"/>
          <w:lang w:val="en-GB"/>
        </w:rPr>
      </w:pPr>
      <w:r>
        <w:rPr>
          <w:rStyle w:val="FootnoteCharacters"/>
        </w:rPr>
        <w:footnoteRef/>
      </w:r>
      <w:r>
        <w:rPr>
          <w:rFonts w:cstheme="minorHAnsi"/>
          <w:color w:val="000000"/>
          <w:lang w:val="en-GB"/>
        </w:rPr>
        <w:t>New deferred payment mechanism of the minimum share capital permitted by the new law of 18 May 2026 amending the amended law of 10 August 1915.</w:t>
      </w:r>
    </w:p>
  </w:footnote>
  <w:footnote w:id="11">
    <w:p w14:paraId="2325D989" w14:textId="77777777" w:rsidR="00EC45B1" w:rsidRDefault="00000000">
      <w:pPr>
        <w:pStyle w:val="FootnoteText"/>
        <w:rPr>
          <w:lang w:val="fr-FR"/>
        </w:rPr>
      </w:pPr>
      <w:r>
        <w:rPr>
          <w:rStyle w:val="FootnoteCharacters"/>
        </w:rPr>
        <w:footnoteRef/>
      </w:r>
      <w:r>
        <w:rPr>
          <w:lang w:val="fr-FR"/>
        </w:rPr>
        <w:t xml:space="preserve"> </w:t>
      </w:r>
      <w:r>
        <w:rPr>
          <w:rFonts w:cstheme="minorHAnsi"/>
          <w:lang w:val="fr-FR"/>
        </w:rPr>
        <w:t>Le terme “Actionnaire” peut remplacer “Associé”. Dans ce cas, veuillez appliquer le terme choisi dans tout le document</w:t>
      </w:r>
      <w:r>
        <w:rPr>
          <w:lang w:val="fr-FR"/>
        </w:rPr>
        <w:t>.</w:t>
      </w:r>
    </w:p>
  </w:footnote>
  <w:footnote w:id="12">
    <w:p w14:paraId="7E171929" w14:textId="77777777" w:rsidR="00EC45B1" w:rsidRDefault="00000000">
      <w:pPr>
        <w:rPr>
          <w:sz w:val="22"/>
        </w:rPr>
      </w:pPr>
      <w:r>
        <w:rPr>
          <w:rStyle w:val="FootnoteCharacters"/>
        </w:rPr>
        <w:footnoteRef/>
      </w:r>
      <w:proofErr w:type="spellStart"/>
      <w:r>
        <w:rPr>
          <w:rFonts w:cstheme="minorHAnsi"/>
        </w:rPr>
        <w:t>Choisir</w:t>
      </w:r>
      <w:proofErr w:type="spellEnd"/>
      <w:r>
        <w:rPr>
          <w:rFonts w:cstheme="minorHAnsi"/>
        </w:rPr>
        <w:t xml:space="preserve"> UN </w:t>
      </w:r>
      <w:proofErr w:type="spellStart"/>
      <w:r>
        <w:rPr>
          <w:rFonts w:cstheme="minorHAnsi"/>
        </w:rPr>
        <w:t>objet</w:t>
      </w:r>
      <w:proofErr w:type="spellEnd"/>
      <w:r>
        <w:rPr>
          <w:rFonts w:cstheme="minorHAnsi"/>
        </w:rPr>
        <w:t xml:space="preserve"> social et </w:t>
      </w:r>
      <w:proofErr w:type="spellStart"/>
      <w:r>
        <w:rPr>
          <w:rFonts w:cstheme="minorHAnsi"/>
        </w:rPr>
        <w:t>supprimer</w:t>
      </w:r>
      <w:proofErr w:type="spellEnd"/>
      <w:r>
        <w:rPr>
          <w:rFonts w:cstheme="minorHAnsi"/>
        </w:rPr>
        <w:t xml:space="preserve"> les </w:t>
      </w:r>
      <w:proofErr w:type="spellStart"/>
      <w:r>
        <w:rPr>
          <w:rFonts w:cstheme="minorHAnsi"/>
        </w:rPr>
        <w:t>autres</w:t>
      </w:r>
      <w:proofErr w:type="spellEnd"/>
      <w:r>
        <w:rPr>
          <w:rFonts w:cstheme="minorHAnsi"/>
        </w:rPr>
        <w:t xml:space="preserve"> </w:t>
      </w:r>
      <w:proofErr w:type="spellStart"/>
      <w:r>
        <w:rPr>
          <w:rFonts w:cstheme="minorHAnsi"/>
        </w:rPr>
        <w:t>exemples</w:t>
      </w:r>
      <w:proofErr w:type="spellEnd"/>
      <w:r>
        <w:rPr>
          <w:rFonts w:cstheme="minorHAnsi"/>
        </w:rPr>
        <w:t xml:space="preserve"> avant </w:t>
      </w:r>
      <w:proofErr w:type="spellStart"/>
      <w:r>
        <w:rPr>
          <w:rFonts w:cstheme="minorHAnsi"/>
        </w:rPr>
        <w:t>l’acte</w:t>
      </w:r>
      <w:proofErr w:type="spellEnd"/>
      <w:r>
        <w:rPr>
          <w:rFonts w:cstheme="minorHAnsi"/>
        </w:rPr>
        <w:t xml:space="preserve">. Assurer la </w:t>
      </w:r>
      <w:proofErr w:type="spellStart"/>
      <w:r>
        <w:rPr>
          <w:rFonts w:cstheme="minorHAnsi"/>
        </w:rPr>
        <w:t>cohérence</w:t>
      </w:r>
      <w:proofErr w:type="spellEnd"/>
      <w:r>
        <w:rPr>
          <w:rFonts w:cstheme="minorHAnsi"/>
        </w:rPr>
        <w:t xml:space="preserve"> avec </w:t>
      </w:r>
      <w:proofErr w:type="spellStart"/>
      <w:r>
        <w:rPr>
          <w:rFonts w:cstheme="minorHAnsi"/>
        </w:rPr>
        <w:t>l’activité</w:t>
      </w:r>
      <w:proofErr w:type="spellEnd"/>
      <w:r>
        <w:rPr>
          <w:rFonts w:cstheme="minorHAnsi"/>
        </w:rPr>
        <w:t xml:space="preserve"> </w:t>
      </w:r>
      <w:proofErr w:type="spellStart"/>
      <w:r>
        <w:rPr>
          <w:rFonts w:cstheme="minorHAnsi"/>
        </w:rPr>
        <w:t>réelle</w:t>
      </w:r>
      <w:proofErr w:type="spellEnd"/>
      <w:r>
        <w:rPr>
          <w:rFonts w:cstheme="minorHAnsi"/>
        </w:rPr>
        <w:t xml:space="preserve"> et la </w:t>
      </w:r>
      <w:proofErr w:type="spellStart"/>
      <w:r>
        <w:rPr>
          <w:rFonts w:cstheme="minorHAnsi"/>
        </w:rPr>
        <w:t>licence</w:t>
      </w:r>
      <w:proofErr w:type="spellEnd"/>
      <w:r>
        <w:rPr>
          <w:rFonts w:cstheme="minorHAnsi"/>
        </w:rPr>
        <w:t xml:space="preserve"> </w:t>
      </w:r>
      <w:proofErr w:type="spellStart"/>
      <w:r>
        <w:rPr>
          <w:rFonts w:cstheme="minorHAnsi"/>
        </w:rPr>
        <w:t>d’exploitation</w:t>
      </w:r>
      <w:proofErr w:type="spellEnd"/>
      <w:r>
        <w:rPr>
          <w:rFonts w:cstheme="minorHAnsi"/>
        </w:rPr>
        <w:t xml:space="preserve"> (Tech / AI Act / EMI / PI / SaaS). Un </w:t>
      </w:r>
      <w:proofErr w:type="spellStart"/>
      <w:r>
        <w:rPr>
          <w:rFonts w:cstheme="minorHAnsi"/>
        </w:rPr>
        <w:t>objet</w:t>
      </w:r>
      <w:proofErr w:type="spellEnd"/>
      <w:r>
        <w:rPr>
          <w:rFonts w:cstheme="minorHAnsi"/>
        </w:rPr>
        <w:t xml:space="preserve"> social </w:t>
      </w:r>
      <w:proofErr w:type="spellStart"/>
      <w:r>
        <w:rPr>
          <w:rFonts w:cstheme="minorHAnsi"/>
        </w:rPr>
        <w:t>cumulatif</w:t>
      </w:r>
      <w:proofErr w:type="spellEnd"/>
      <w:r>
        <w:rPr>
          <w:rFonts w:cstheme="minorHAnsi"/>
        </w:rPr>
        <w:t xml:space="preserve"> </w:t>
      </w:r>
      <w:proofErr w:type="spellStart"/>
      <w:r>
        <w:rPr>
          <w:rFonts w:cstheme="minorHAnsi"/>
        </w:rPr>
        <w:t>risque</w:t>
      </w:r>
      <w:proofErr w:type="spellEnd"/>
      <w:r>
        <w:rPr>
          <w:rFonts w:cstheme="minorHAnsi"/>
        </w:rPr>
        <w:t xml:space="preserve"> </w:t>
      </w:r>
      <w:proofErr w:type="spellStart"/>
      <w:r>
        <w:rPr>
          <w:rFonts w:cstheme="minorHAnsi"/>
        </w:rPr>
        <w:t>d’entraîner</w:t>
      </w:r>
      <w:proofErr w:type="spellEnd"/>
      <w:r>
        <w:rPr>
          <w:rFonts w:cstheme="minorHAnsi"/>
        </w:rPr>
        <w:t xml:space="preserve"> des </w:t>
      </w:r>
      <w:proofErr w:type="spellStart"/>
      <w:r>
        <w:rPr>
          <w:rFonts w:cstheme="minorHAnsi"/>
        </w:rPr>
        <w:t>incohérences</w:t>
      </w:r>
      <w:proofErr w:type="spellEnd"/>
      <w:r>
        <w:rPr>
          <w:rFonts w:cstheme="minorHAnsi"/>
        </w:rPr>
        <w:t xml:space="preserve"> et un </w:t>
      </w:r>
      <w:proofErr w:type="spellStart"/>
      <w:r>
        <w:rPr>
          <w:rFonts w:cstheme="minorHAnsi"/>
        </w:rPr>
        <w:t>rejet</w:t>
      </w:r>
      <w:proofErr w:type="spellEnd"/>
      <w:r>
        <w:rPr>
          <w:rFonts w:cstheme="minorHAnsi"/>
        </w:rPr>
        <w:t xml:space="preserve"> </w:t>
      </w:r>
      <w:proofErr w:type="spellStart"/>
      <w:r>
        <w:rPr>
          <w:rFonts w:cstheme="minorHAnsi"/>
        </w:rPr>
        <w:t>lors</w:t>
      </w:r>
      <w:proofErr w:type="spellEnd"/>
      <w:r>
        <w:rPr>
          <w:rFonts w:cstheme="minorHAnsi"/>
        </w:rPr>
        <w:t xml:space="preserve"> du </w:t>
      </w:r>
      <w:proofErr w:type="spellStart"/>
      <w:r>
        <w:rPr>
          <w:rFonts w:cstheme="minorHAnsi"/>
        </w:rPr>
        <w:t>dépôt</w:t>
      </w:r>
      <w:proofErr w:type="spellEnd"/>
      <w:r>
        <w:rPr>
          <w:rFonts w:cstheme="minorHAnsi"/>
        </w:rPr>
        <w:t xml:space="preserve"> au RCS.</w:t>
      </w:r>
    </w:p>
  </w:footnote>
  <w:footnote w:id="13">
    <w:p w14:paraId="572D232B" w14:textId="77777777" w:rsidR="00EC45B1" w:rsidRDefault="00000000">
      <w:pPr>
        <w:pStyle w:val="Texteprformat"/>
        <w:widowControl w:val="0"/>
        <w:contextualSpacing/>
      </w:pPr>
      <w:r>
        <w:rPr>
          <w:rStyle w:val="FootnoteCharacters"/>
        </w:rPr>
        <w:footnoteRef/>
      </w:r>
      <w:bookmarkStart w:id="12" w:name="tw-target-text_Copie_1_Copie_1_Copie_1_C"/>
      <w:bookmarkEnd w:id="12"/>
      <w:r>
        <w:rPr>
          <w:rFonts w:cstheme="minorHAnsi"/>
          <w:color w:val="1F1F1F"/>
          <w:lang w:val="fr-FR"/>
        </w:rPr>
        <w:t xml:space="preserve">Disposition facultative relative à la libération différée du capital social minimum (option, apports en numéraire uniquement). </w:t>
      </w:r>
      <w:r>
        <w:rPr>
          <w:rFonts w:cstheme="minorHAnsi"/>
        </w:rPr>
        <w:t xml:space="preserve">Loi du 18 </w:t>
      </w:r>
      <w:proofErr w:type="spellStart"/>
      <w:r>
        <w:rPr>
          <w:rFonts w:cstheme="minorHAnsi"/>
        </w:rPr>
        <w:t>mai</w:t>
      </w:r>
      <w:proofErr w:type="spellEnd"/>
      <w:r>
        <w:rPr>
          <w:rFonts w:cstheme="minorHAnsi"/>
        </w:rPr>
        <w:t xml:space="preserve"> 2026; arts 710-6, 710-7, 720-4.</w:t>
      </w:r>
    </w:p>
  </w:footnote>
  <w:footnote w:id="14">
    <w:p w14:paraId="79AB0A66" w14:textId="77777777" w:rsidR="00EC45B1" w:rsidRDefault="00000000">
      <w:pPr>
        <w:pStyle w:val="FootnoteText"/>
        <w:rPr>
          <w:lang w:val="fr-FR"/>
        </w:rPr>
      </w:pPr>
      <w:r>
        <w:rPr>
          <w:rStyle w:val="FootnoteCharacters"/>
        </w:rPr>
        <w:footnoteRef/>
      </w:r>
      <w:r>
        <w:rPr>
          <w:lang w:val="fr-FR"/>
        </w:rPr>
        <w:t xml:space="preserve"> </w:t>
      </w:r>
      <w:r>
        <w:rPr>
          <w:rFonts w:cstheme="minorHAnsi"/>
          <w:lang w:val="fr-FR"/>
        </w:rPr>
        <w:t>Dans le cas d’un capital social avec classes de parts, la section H. DEFINITIONS devra être inclue dans les statuts de constitution.</w:t>
      </w:r>
    </w:p>
  </w:footnote>
  <w:footnote w:id="15">
    <w:p w14:paraId="31BAECD5" w14:textId="77777777" w:rsidR="00EC45B1" w:rsidRDefault="00000000">
      <w:pPr>
        <w:pStyle w:val="Texteprformat"/>
        <w:rPr>
          <w:color w:val="1F1F1F"/>
          <w:lang w:val="fr-FR"/>
        </w:rPr>
      </w:pPr>
      <w:r>
        <w:rPr>
          <w:rStyle w:val="FootnoteCharacters"/>
        </w:rPr>
        <w:footnoteRef/>
      </w:r>
      <w:bookmarkStart w:id="13" w:name="tw-target-text_Copie_3_Copie_1_Copie_1_C"/>
      <w:bookmarkEnd w:id="13"/>
      <w:r>
        <w:rPr>
          <w:color w:val="1F1F1F"/>
          <w:lang w:val="fr-FR"/>
        </w:rPr>
        <w:t>Le transfert à des tiers est fixé à la moitié (1/2). Le régime légal par défaut (art. 710-12) prévoit les trois quarts (3/4), avec une possibilité de réduction à 50 % (seuil minimal) ; une quotité d'un demi n'est licite que si elle résulte d'un choix délibéré. ​​Il convient de confirmer la quotité retenue (1/2 ou 3/4) et de s'assurer de la cohérence avec tout pacte d'actionnaires ou clause de préemption.</w:t>
      </w:r>
    </w:p>
    <w:p w14:paraId="6B1C71EE" w14:textId="77777777" w:rsidR="00EC45B1" w:rsidRPr="009F31F7" w:rsidRDefault="00EC45B1">
      <w:pPr>
        <w:rPr>
          <w:sz w:val="22"/>
          <w:lang w:val="pt-BR"/>
        </w:rPr>
      </w:pPr>
    </w:p>
  </w:footnote>
  <w:footnote w:id="16">
    <w:p w14:paraId="3D4BAD66" w14:textId="77777777" w:rsidR="00EC45B1" w:rsidRDefault="00000000">
      <w:pPr>
        <w:pStyle w:val="Texteprformat"/>
        <w:rPr>
          <w:color w:val="1F1F1F"/>
          <w:lang w:val="fr-FR"/>
        </w:rPr>
      </w:pPr>
      <w:r>
        <w:rPr>
          <w:rStyle w:val="FootnoteCharacters"/>
        </w:rPr>
        <w:footnoteRef/>
      </w:r>
      <w:bookmarkStart w:id="14" w:name="tw-target-text_Copie_2_Copie_1_Copie_1_C"/>
      <w:bookmarkEnd w:id="14"/>
      <w:r>
        <w:rPr>
          <w:color w:val="1F1F1F"/>
          <w:lang w:val="fr-FR"/>
        </w:rPr>
        <w:t>Vérifiez que les renvois à certains articles du document sont exacts, au cas où la numérotation des articles viendrait à changer.</w:t>
      </w:r>
    </w:p>
    <w:p w14:paraId="1B47F84D" w14:textId="77777777" w:rsidR="00EC45B1" w:rsidRPr="009F31F7" w:rsidRDefault="00000000">
      <w:pPr>
        <w:pStyle w:val="FootnoteText"/>
        <w:rPr>
          <w:lang w:val="pt-BR"/>
        </w:rPr>
      </w:pPr>
      <w:r w:rsidRPr="009F31F7">
        <w:rPr>
          <w:lang w:val="pt-BR"/>
        </w:rPr>
        <w:t>.</w:t>
      </w:r>
    </w:p>
  </w:footnote>
  <w:footnote w:id="17">
    <w:p w14:paraId="330D5812" w14:textId="77777777" w:rsidR="00EC45B1" w:rsidRPr="009F31F7" w:rsidRDefault="00000000">
      <w:pPr>
        <w:pStyle w:val="Texteprformat"/>
        <w:rPr>
          <w:color w:val="1F1F1F"/>
          <w:lang w:val="fr-FR"/>
        </w:rPr>
      </w:pPr>
      <w:r>
        <w:rPr>
          <w:rStyle w:val="FootnoteCharacters"/>
        </w:rPr>
        <w:footnoteRef/>
      </w:r>
      <w:bookmarkStart w:id="15" w:name="tw-target-text_Copie_4_Copie_1_Copie_1_C"/>
      <w:bookmarkEnd w:id="15"/>
      <w:r>
        <w:rPr>
          <w:color w:val="1F1F1F"/>
          <w:lang w:val="fr-FR"/>
        </w:rPr>
        <w:t xml:space="preserve">Transfert en cas de décès : agrément régi par l'art. 710-12 §2 (règle par défaut = 3/4 des survivants) ; vérifier la réductibilité. Maintenir les exceptions relatives aux héritiers réservataires et au conjoint. N.B. : l'art. 710-13 concerne l'opposabilité des transferts (art. 1690 du Code civil), et non l'agrément. À valider avec le </w:t>
      </w:r>
      <w:proofErr w:type="gramStart"/>
      <w:r>
        <w:rPr>
          <w:color w:val="1F1F1F"/>
          <w:lang w:val="fr-FR"/>
        </w:rPr>
        <w:t>notaire.</w:t>
      </w:r>
      <w:r w:rsidRPr="009F31F7">
        <w:rPr>
          <w:color w:val="000000"/>
          <w:lang w:val="fr-FR"/>
        </w:rPr>
        <w:t>.</w:t>
      </w:r>
      <w:proofErr w:type="gramEnd"/>
    </w:p>
  </w:footnote>
  <w:footnote w:id="18">
    <w:p w14:paraId="21F889ED" w14:textId="77777777" w:rsidR="00EC45B1" w:rsidRPr="009F31F7" w:rsidRDefault="00000000">
      <w:pPr>
        <w:pStyle w:val="FootnoteText"/>
        <w:rPr>
          <w:lang w:val="it-IT"/>
        </w:rPr>
      </w:pPr>
      <w:r>
        <w:rPr>
          <w:rStyle w:val="FootnoteCharacters"/>
        </w:rPr>
        <w:footnoteRef/>
      </w:r>
      <w:r w:rsidRPr="009F31F7">
        <w:rPr>
          <w:lang w:val="fr-FR"/>
        </w:rPr>
        <w:t xml:space="preserve">Choix structurel : clause de préemption dans les statuts (opposable *erga </w:t>
      </w:r>
      <w:proofErr w:type="spellStart"/>
      <w:r w:rsidRPr="009F31F7">
        <w:rPr>
          <w:lang w:val="fr-FR"/>
        </w:rPr>
        <w:t>omnes</w:t>
      </w:r>
      <w:proofErr w:type="spellEnd"/>
      <w:r w:rsidRPr="009F31F7">
        <w:rPr>
          <w:lang w:val="fr-FR"/>
        </w:rPr>
        <w:t xml:space="preserve">*, y compris au cessionnaire) ou dans un pacte d'actionnaires (confidentiel, opposable uniquement entre les parties). L'emploi de l'impératif (« </w:t>
      </w:r>
      <w:proofErr w:type="spellStart"/>
      <w:r w:rsidRPr="009F31F7">
        <w:rPr>
          <w:lang w:val="fr-FR"/>
        </w:rPr>
        <w:t>shall</w:t>
      </w:r>
      <w:proofErr w:type="spellEnd"/>
      <w:r w:rsidRPr="009F31F7">
        <w:rPr>
          <w:lang w:val="fr-FR"/>
        </w:rPr>
        <w:t xml:space="preserve"> ») et de termes définis (Actionnaire cédant, Droit proportionnel…) nécessite l'inclusion d'une section « Définitions ». </w:t>
      </w:r>
      <w:r w:rsidRPr="009F31F7">
        <w:rPr>
          <w:lang w:val="it-IT"/>
        </w:rPr>
        <w:t xml:space="preserve">Il </w:t>
      </w:r>
      <w:proofErr w:type="spellStart"/>
      <w:r w:rsidRPr="009F31F7">
        <w:rPr>
          <w:lang w:val="it-IT"/>
        </w:rPr>
        <w:t>convient</w:t>
      </w:r>
      <w:proofErr w:type="spellEnd"/>
      <w:r w:rsidRPr="009F31F7">
        <w:rPr>
          <w:lang w:val="it-IT"/>
        </w:rPr>
        <w:t xml:space="preserve"> de </w:t>
      </w:r>
      <w:proofErr w:type="spellStart"/>
      <w:r w:rsidRPr="009F31F7">
        <w:rPr>
          <w:lang w:val="it-IT"/>
        </w:rPr>
        <w:t>trancher</w:t>
      </w:r>
      <w:proofErr w:type="spellEnd"/>
      <w:r w:rsidRPr="009F31F7">
        <w:rPr>
          <w:lang w:val="it-IT"/>
        </w:rPr>
        <w:t xml:space="preserve"> et de </w:t>
      </w:r>
      <w:proofErr w:type="spellStart"/>
      <w:r w:rsidRPr="009F31F7">
        <w:rPr>
          <w:lang w:val="it-IT"/>
        </w:rPr>
        <w:t>formuler</w:t>
      </w:r>
      <w:proofErr w:type="spellEnd"/>
      <w:r w:rsidRPr="009F31F7">
        <w:rPr>
          <w:lang w:val="it-IT"/>
        </w:rPr>
        <w:t xml:space="preserve"> la </w:t>
      </w:r>
      <w:proofErr w:type="spellStart"/>
      <w:r w:rsidRPr="009F31F7">
        <w:rPr>
          <w:lang w:val="it-IT"/>
        </w:rPr>
        <w:t>clause</w:t>
      </w:r>
      <w:proofErr w:type="spellEnd"/>
      <w:r w:rsidRPr="009F31F7">
        <w:rPr>
          <w:lang w:val="it-IT"/>
        </w:rPr>
        <w:t xml:space="preserve"> en </w:t>
      </w:r>
      <w:proofErr w:type="spellStart"/>
      <w:r w:rsidRPr="009F31F7">
        <w:rPr>
          <w:lang w:val="it-IT"/>
        </w:rPr>
        <w:t>conséquence</w:t>
      </w:r>
      <w:proofErr w:type="spellEnd"/>
      <w:r w:rsidRPr="009F31F7">
        <w:rPr>
          <w:lang w:val="it-IT"/>
        </w:rPr>
        <w:t>.</w:t>
      </w:r>
    </w:p>
  </w:footnote>
  <w:footnote w:id="19">
    <w:p w14:paraId="56D00557" w14:textId="77777777" w:rsidR="00EC45B1" w:rsidRDefault="00000000">
      <w:pPr>
        <w:pStyle w:val="FootnoteText"/>
        <w:rPr>
          <w:lang w:val="fr-FR"/>
        </w:rPr>
      </w:pPr>
      <w:r>
        <w:rPr>
          <w:rStyle w:val="FootnoteCharacters"/>
        </w:rPr>
        <w:footnoteRef/>
      </w:r>
      <w:r>
        <w:rPr>
          <w:rFonts w:cstheme="minorHAnsi"/>
          <w:lang w:val="fr-FR"/>
        </w:rPr>
        <w:t>Nouveau mécanisme de libération différée du capital social minimum autorisé par la nouvelle loi du 18 mai 2026 portant modification de la loi modifiée du 10 août 1915.</w:t>
      </w:r>
    </w:p>
  </w:footnote>
  <w:footnote w:id="20">
    <w:p w14:paraId="0569B5F2" w14:textId="77777777" w:rsidR="00EC45B1" w:rsidRDefault="00000000">
      <w:pPr>
        <w:pStyle w:val="BodyText"/>
        <w:widowControl w:val="0"/>
        <w:jc w:val="both"/>
        <w:rPr>
          <w:rFonts w:cstheme="minorHAnsi"/>
          <w:lang w:val="en-GB"/>
        </w:rPr>
      </w:pPr>
      <w:r>
        <w:rPr>
          <w:rStyle w:val="FootnoteCharacters"/>
        </w:rPr>
        <w:footnoteRef/>
      </w:r>
      <w:r>
        <w:rPr>
          <w:rFonts w:cstheme="minorHAnsi"/>
          <w:color w:val="000000"/>
          <w:lang w:val="en-GB"/>
        </w:rPr>
        <w:t>New deferred payment mechanism of the minimum share capital permitted by the new law of 18 May 2026 amending the amended law of 10 August 1915.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5CD30" w14:textId="77777777" w:rsidR="00EC45B1" w:rsidRDefault="00000000">
    <w:pPr>
      <w:pBdr>
        <w:bottom w:val="single" w:sz="4" w:space="4" w:color="CCCCCC"/>
      </w:pBdr>
      <w:tabs>
        <w:tab w:val="right" w:pos="9648"/>
      </w:tabs>
    </w:pPr>
    <w:r>
      <w:rPr>
        <w:color w:val="808080"/>
        <w:sz w:val="18"/>
        <w:szCs w:val="18"/>
      </w:rPr>
      <w:t>GAMS – Incorporation Working Group</w:t>
    </w:r>
    <w:r>
      <w:rPr>
        <w:color w:val="808080"/>
        <w:sz w:val="18"/>
        <w:szCs w:val="18"/>
      </w:rPr>
      <w:tab/>
      <w:t>LUXEMBOURG INCORPORATION GUIDE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96420" w14:textId="77777777" w:rsidR="00EC45B1" w:rsidRDefault="00000000">
    <w:pPr>
      <w:pBdr>
        <w:bottom w:val="single" w:sz="4" w:space="4" w:color="CCCCCC"/>
      </w:pBdr>
      <w:tabs>
        <w:tab w:val="right" w:pos="9648"/>
      </w:tabs>
    </w:pPr>
    <w:r>
      <w:rPr>
        <w:color w:val="808080"/>
        <w:sz w:val="18"/>
        <w:szCs w:val="18"/>
      </w:rPr>
      <w:t>GAMS – Incorporation Working Group</w:t>
    </w:r>
    <w:r>
      <w:rPr>
        <w:color w:val="808080"/>
        <w:sz w:val="18"/>
        <w:szCs w:val="18"/>
      </w:rPr>
      <w:tab/>
      <w:t>LUXEMBOURG INCORPORATION GUIDE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E40EB" w14:textId="77777777" w:rsidR="00EC45B1" w:rsidRDefault="00000000">
    <w:pPr>
      <w:pBdr>
        <w:bottom w:val="single" w:sz="4" w:space="4" w:color="CCCCCC"/>
      </w:pBdr>
      <w:tabs>
        <w:tab w:val="right" w:pos="9648"/>
      </w:tabs>
    </w:pPr>
    <w:r>
      <w:rPr>
        <w:color w:val="808080"/>
        <w:sz w:val="18"/>
        <w:szCs w:val="18"/>
      </w:rPr>
      <w:t>GAMS – Incorporation Working Group</w:t>
    </w:r>
    <w:r>
      <w:rPr>
        <w:color w:val="808080"/>
        <w:sz w:val="18"/>
        <w:szCs w:val="18"/>
      </w:rPr>
      <w:tab/>
      <w:t>LUXEMBOURG INCORPORATION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B6E7D"/>
    <w:multiLevelType w:val="multilevel"/>
    <w:tmpl w:val="CDDA9928"/>
    <w:lvl w:ilvl="0">
      <w:start w:val="1"/>
      <w:numFmt w:val="lowerRoman"/>
      <w:lvlText w:val="(%1)"/>
      <w:lvlJc w:val="left"/>
      <w:pPr>
        <w:tabs>
          <w:tab w:val="num" w:pos="0"/>
        </w:tabs>
        <w:ind w:left="4539" w:hanging="242"/>
      </w:pPr>
      <w:rPr>
        <w:rFonts w:ascii="Times New Roman" w:eastAsia="Times New Roman" w:hAnsi="Times New Roman" w:cs="Times New Roman"/>
        <w:b w:val="0"/>
        <w:bCs w:val="0"/>
        <w:i w:val="0"/>
        <w:iCs w:val="0"/>
        <w:spacing w:val="-1"/>
        <w:sz w:val="20"/>
        <w:szCs w:val="20"/>
        <w:lang w:val="fr-FR" w:eastAsia="en-US" w:bidi="ar-SA"/>
      </w:rPr>
    </w:lvl>
    <w:lvl w:ilvl="1">
      <w:numFmt w:val="bullet"/>
      <w:lvlText w:val=""/>
      <w:lvlJc w:val="left"/>
      <w:pPr>
        <w:tabs>
          <w:tab w:val="num" w:pos="0"/>
        </w:tabs>
        <w:ind w:left="5205" w:hanging="242"/>
      </w:pPr>
      <w:rPr>
        <w:rFonts w:ascii="Symbol" w:hAnsi="Symbol" w:cs="Symbol" w:hint="default"/>
        <w:lang w:val="fr-FR" w:eastAsia="en-US" w:bidi="ar-SA"/>
      </w:rPr>
    </w:lvl>
    <w:lvl w:ilvl="2">
      <w:numFmt w:val="bullet"/>
      <w:lvlText w:val=""/>
      <w:lvlJc w:val="left"/>
      <w:pPr>
        <w:tabs>
          <w:tab w:val="num" w:pos="0"/>
        </w:tabs>
        <w:ind w:left="5871" w:hanging="242"/>
      </w:pPr>
      <w:rPr>
        <w:rFonts w:ascii="Symbol" w:hAnsi="Symbol" w:cs="Symbol" w:hint="default"/>
        <w:lang w:val="fr-FR" w:eastAsia="en-US" w:bidi="ar-SA"/>
      </w:rPr>
    </w:lvl>
    <w:lvl w:ilvl="3">
      <w:numFmt w:val="bullet"/>
      <w:lvlText w:val=""/>
      <w:lvlJc w:val="left"/>
      <w:pPr>
        <w:tabs>
          <w:tab w:val="num" w:pos="0"/>
        </w:tabs>
        <w:ind w:left="6537" w:hanging="242"/>
      </w:pPr>
      <w:rPr>
        <w:rFonts w:ascii="Symbol" w:hAnsi="Symbol" w:cs="Symbol" w:hint="default"/>
        <w:lang w:val="fr-FR" w:eastAsia="en-US" w:bidi="ar-SA"/>
      </w:rPr>
    </w:lvl>
    <w:lvl w:ilvl="4">
      <w:numFmt w:val="bullet"/>
      <w:lvlText w:val=""/>
      <w:lvlJc w:val="left"/>
      <w:pPr>
        <w:tabs>
          <w:tab w:val="num" w:pos="0"/>
        </w:tabs>
        <w:ind w:left="7203" w:hanging="242"/>
      </w:pPr>
      <w:rPr>
        <w:rFonts w:ascii="Symbol" w:hAnsi="Symbol" w:cs="Symbol" w:hint="default"/>
        <w:lang w:val="fr-FR" w:eastAsia="en-US" w:bidi="ar-SA"/>
      </w:rPr>
    </w:lvl>
    <w:lvl w:ilvl="5">
      <w:numFmt w:val="bullet"/>
      <w:lvlText w:val=""/>
      <w:lvlJc w:val="left"/>
      <w:pPr>
        <w:tabs>
          <w:tab w:val="num" w:pos="0"/>
        </w:tabs>
        <w:ind w:left="7868" w:hanging="242"/>
      </w:pPr>
      <w:rPr>
        <w:rFonts w:ascii="Symbol" w:hAnsi="Symbol" w:cs="Symbol" w:hint="default"/>
        <w:lang w:val="fr-FR" w:eastAsia="en-US" w:bidi="ar-SA"/>
      </w:rPr>
    </w:lvl>
    <w:lvl w:ilvl="6">
      <w:numFmt w:val="bullet"/>
      <w:lvlText w:val=""/>
      <w:lvlJc w:val="left"/>
      <w:pPr>
        <w:tabs>
          <w:tab w:val="num" w:pos="0"/>
        </w:tabs>
        <w:ind w:left="8534" w:hanging="242"/>
      </w:pPr>
      <w:rPr>
        <w:rFonts w:ascii="Symbol" w:hAnsi="Symbol" w:cs="Symbol" w:hint="default"/>
        <w:lang w:val="fr-FR" w:eastAsia="en-US" w:bidi="ar-SA"/>
      </w:rPr>
    </w:lvl>
    <w:lvl w:ilvl="7">
      <w:numFmt w:val="bullet"/>
      <w:lvlText w:val=""/>
      <w:lvlJc w:val="left"/>
      <w:pPr>
        <w:tabs>
          <w:tab w:val="num" w:pos="0"/>
        </w:tabs>
        <w:ind w:left="9200" w:hanging="242"/>
      </w:pPr>
      <w:rPr>
        <w:rFonts w:ascii="Symbol" w:hAnsi="Symbol" w:cs="Symbol" w:hint="default"/>
        <w:lang w:val="fr-FR" w:eastAsia="en-US" w:bidi="ar-SA"/>
      </w:rPr>
    </w:lvl>
    <w:lvl w:ilvl="8">
      <w:numFmt w:val="bullet"/>
      <w:lvlText w:val=""/>
      <w:lvlJc w:val="left"/>
      <w:pPr>
        <w:tabs>
          <w:tab w:val="num" w:pos="0"/>
        </w:tabs>
        <w:ind w:left="9866" w:hanging="242"/>
      </w:pPr>
      <w:rPr>
        <w:rFonts w:ascii="Symbol" w:hAnsi="Symbol" w:cs="Symbol" w:hint="default"/>
        <w:lang w:val="fr-FR" w:eastAsia="en-US" w:bidi="ar-SA"/>
      </w:rPr>
    </w:lvl>
  </w:abstractNum>
  <w:abstractNum w:abstractNumId="1" w15:restartNumberingAfterBreak="0">
    <w:nsid w:val="0F3513C8"/>
    <w:multiLevelType w:val="multilevel"/>
    <w:tmpl w:val="CEFAFF90"/>
    <w:lvl w:ilvl="0">
      <w:start w:val="1"/>
      <w:numFmt w:val="bullet"/>
      <w:lvlText w:val="–"/>
      <w:lvlJc w:val="left"/>
      <w:pPr>
        <w:tabs>
          <w:tab w:val="num" w:pos="294"/>
        </w:tabs>
        <w:ind w:left="294" w:hanging="360"/>
      </w:pPr>
      <w:rPr>
        <w:rFonts w:ascii="Times New Roman" w:hAnsi="Times New Roman" w:cs="Times New Roman"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2" w15:restartNumberingAfterBreak="0">
    <w:nsid w:val="105A104C"/>
    <w:multiLevelType w:val="multilevel"/>
    <w:tmpl w:val="584253F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4F70E4F"/>
    <w:multiLevelType w:val="multilevel"/>
    <w:tmpl w:val="C3AAF55A"/>
    <w:lvl w:ilvl="0">
      <w:start w:val="1"/>
      <w:numFmt w:val="lowerRoman"/>
      <w:lvlText w:val="(%1)"/>
      <w:lvlJc w:val="left"/>
      <w:pPr>
        <w:tabs>
          <w:tab w:val="num" w:pos="0"/>
        </w:tabs>
        <w:ind w:left="1422" w:hanging="810"/>
      </w:pPr>
    </w:lvl>
    <w:lvl w:ilvl="1">
      <w:start w:val="1"/>
      <w:numFmt w:val="lowerLetter"/>
      <w:lvlText w:val="%2."/>
      <w:lvlJc w:val="left"/>
      <w:pPr>
        <w:tabs>
          <w:tab w:val="num" w:pos="0"/>
        </w:tabs>
        <w:ind w:left="1692" w:hanging="360"/>
      </w:pPr>
    </w:lvl>
    <w:lvl w:ilvl="2">
      <w:start w:val="1"/>
      <w:numFmt w:val="lowerRoman"/>
      <w:lvlText w:val="%3."/>
      <w:lvlJc w:val="right"/>
      <w:pPr>
        <w:tabs>
          <w:tab w:val="num" w:pos="0"/>
        </w:tabs>
        <w:ind w:left="2412" w:hanging="180"/>
      </w:pPr>
    </w:lvl>
    <w:lvl w:ilvl="3">
      <w:start w:val="1"/>
      <w:numFmt w:val="decimal"/>
      <w:lvlText w:val="%4."/>
      <w:lvlJc w:val="left"/>
      <w:pPr>
        <w:tabs>
          <w:tab w:val="num" w:pos="0"/>
        </w:tabs>
        <w:ind w:left="3132" w:hanging="360"/>
      </w:pPr>
    </w:lvl>
    <w:lvl w:ilvl="4">
      <w:start w:val="1"/>
      <w:numFmt w:val="lowerLetter"/>
      <w:lvlText w:val="%5."/>
      <w:lvlJc w:val="left"/>
      <w:pPr>
        <w:tabs>
          <w:tab w:val="num" w:pos="0"/>
        </w:tabs>
        <w:ind w:left="3852" w:hanging="360"/>
      </w:pPr>
    </w:lvl>
    <w:lvl w:ilvl="5">
      <w:start w:val="1"/>
      <w:numFmt w:val="lowerRoman"/>
      <w:lvlText w:val="%6."/>
      <w:lvlJc w:val="right"/>
      <w:pPr>
        <w:tabs>
          <w:tab w:val="num" w:pos="0"/>
        </w:tabs>
        <w:ind w:left="4572" w:hanging="180"/>
      </w:pPr>
    </w:lvl>
    <w:lvl w:ilvl="6">
      <w:start w:val="1"/>
      <w:numFmt w:val="decimal"/>
      <w:lvlText w:val="%7."/>
      <w:lvlJc w:val="left"/>
      <w:pPr>
        <w:tabs>
          <w:tab w:val="num" w:pos="0"/>
        </w:tabs>
        <w:ind w:left="5292" w:hanging="360"/>
      </w:pPr>
    </w:lvl>
    <w:lvl w:ilvl="7">
      <w:start w:val="1"/>
      <w:numFmt w:val="lowerLetter"/>
      <w:lvlText w:val="%8."/>
      <w:lvlJc w:val="left"/>
      <w:pPr>
        <w:tabs>
          <w:tab w:val="num" w:pos="0"/>
        </w:tabs>
        <w:ind w:left="6012" w:hanging="360"/>
      </w:pPr>
    </w:lvl>
    <w:lvl w:ilvl="8">
      <w:start w:val="1"/>
      <w:numFmt w:val="lowerRoman"/>
      <w:lvlText w:val="%9."/>
      <w:lvlJc w:val="right"/>
      <w:pPr>
        <w:tabs>
          <w:tab w:val="num" w:pos="0"/>
        </w:tabs>
        <w:ind w:left="6732" w:hanging="180"/>
      </w:pPr>
    </w:lvl>
  </w:abstractNum>
  <w:abstractNum w:abstractNumId="4" w15:restartNumberingAfterBreak="0">
    <w:nsid w:val="1A5E460A"/>
    <w:multiLevelType w:val="multilevel"/>
    <w:tmpl w:val="2E7C97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AB423F1"/>
    <w:multiLevelType w:val="multilevel"/>
    <w:tmpl w:val="E67EF5E4"/>
    <w:lvl w:ilvl="0">
      <w:start w:val="1"/>
      <w:numFmt w:val="upperLetter"/>
      <w:lvlText w:val="%1."/>
      <w:lvlJc w:val="left"/>
      <w:pPr>
        <w:tabs>
          <w:tab w:val="num" w:pos="1701"/>
        </w:tabs>
        <w:ind w:left="680" w:hanging="680"/>
      </w:pPr>
    </w:lvl>
    <w:lvl w:ilvl="1">
      <w:start w:val="1"/>
      <w:numFmt w:val="decimal"/>
      <w:lvlText w:val="Article %2"/>
      <w:lvlJc w:val="left"/>
      <w:pPr>
        <w:tabs>
          <w:tab w:val="num" w:pos="0"/>
        </w:tabs>
        <w:ind w:left="1986" w:hanging="1418"/>
      </w:pPr>
    </w:lvl>
    <w:lvl w:ilvl="2">
      <w:start w:val="1"/>
      <w:numFmt w:val="decimal"/>
      <w:lvlText w:val="%2.%3"/>
      <w:lvlJc w:val="left"/>
      <w:pPr>
        <w:tabs>
          <w:tab w:val="num" w:pos="0"/>
        </w:tabs>
        <w:ind w:left="680" w:hanging="680"/>
      </w:pPr>
      <w:rPr>
        <w:rFonts w:ascii="Times New Roman" w:eastAsia="Times New Roman" w:hAnsi="Times New Roman" w:cs="Times New Roman"/>
        <w:b w:val="0"/>
      </w:rPr>
    </w:lvl>
    <w:lvl w:ilvl="3">
      <w:start w:val="1"/>
      <w:numFmt w:val="decimal"/>
      <w:lvlText w:val="%2.%3.%4"/>
      <w:lvlJc w:val="left"/>
      <w:pPr>
        <w:tabs>
          <w:tab w:val="num" w:pos="0"/>
        </w:tabs>
        <w:ind w:left="680" w:hanging="68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19A479F"/>
    <w:multiLevelType w:val="multilevel"/>
    <w:tmpl w:val="9D02FA16"/>
    <w:lvl w:ilvl="0">
      <w:start w:val="1"/>
      <w:numFmt w:val="lowerRoman"/>
      <w:lvlText w:val="(%1)"/>
      <w:lvlJc w:val="left"/>
      <w:pPr>
        <w:tabs>
          <w:tab w:val="num" w:pos="0"/>
        </w:tabs>
        <w:ind w:left="4539" w:hanging="242"/>
      </w:pPr>
      <w:rPr>
        <w:rFonts w:ascii="Times New Roman" w:eastAsia="Times New Roman" w:hAnsi="Times New Roman" w:cs="Times New Roman"/>
        <w:b w:val="0"/>
        <w:bCs w:val="0"/>
        <w:i w:val="0"/>
        <w:iCs w:val="0"/>
        <w:spacing w:val="-1"/>
        <w:sz w:val="20"/>
        <w:szCs w:val="20"/>
        <w:lang w:val="fr-FR" w:eastAsia="en-US" w:bidi="ar-SA"/>
      </w:rPr>
    </w:lvl>
    <w:lvl w:ilvl="1">
      <w:numFmt w:val="bullet"/>
      <w:lvlText w:val=""/>
      <w:lvlJc w:val="left"/>
      <w:pPr>
        <w:tabs>
          <w:tab w:val="num" w:pos="0"/>
        </w:tabs>
        <w:ind w:left="5205" w:hanging="242"/>
      </w:pPr>
      <w:rPr>
        <w:rFonts w:ascii="Symbol" w:hAnsi="Symbol" w:cs="Symbol" w:hint="default"/>
        <w:lang w:val="fr-FR" w:eastAsia="en-US" w:bidi="ar-SA"/>
      </w:rPr>
    </w:lvl>
    <w:lvl w:ilvl="2">
      <w:numFmt w:val="bullet"/>
      <w:lvlText w:val=""/>
      <w:lvlJc w:val="left"/>
      <w:pPr>
        <w:tabs>
          <w:tab w:val="num" w:pos="0"/>
        </w:tabs>
        <w:ind w:left="5871" w:hanging="242"/>
      </w:pPr>
      <w:rPr>
        <w:rFonts w:ascii="Symbol" w:hAnsi="Symbol" w:cs="Symbol" w:hint="default"/>
        <w:lang w:val="fr-FR" w:eastAsia="en-US" w:bidi="ar-SA"/>
      </w:rPr>
    </w:lvl>
    <w:lvl w:ilvl="3">
      <w:numFmt w:val="bullet"/>
      <w:lvlText w:val=""/>
      <w:lvlJc w:val="left"/>
      <w:pPr>
        <w:tabs>
          <w:tab w:val="num" w:pos="0"/>
        </w:tabs>
        <w:ind w:left="6537" w:hanging="242"/>
      </w:pPr>
      <w:rPr>
        <w:rFonts w:ascii="Symbol" w:hAnsi="Symbol" w:cs="Symbol" w:hint="default"/>
        <w:lang w:val="fr-FR" w:eastAsia="en-US" w:bidi="ar-SA"/>
      </w:rPr>
    </w:lvl>
    <w:lvl w:ilvl="4">
      <w:numFmt w:val="bullet"/>
      <w:lvlText w:val=""/>
      <w:lvlJc w:val="left"/>
      <w:pPr>
        <w:tabs>
          <w:tab w:val="num" w:pos="0"/>
        </w:tabs>
        <w:ind w:left="7203" w:hanging="242"/>
      </w:pPr>
      <w:rPr>
        <w:rFonts w:ascii="Symbol" w:hAnsi="Symbol" w:cs="Symbol" w:hint="default"/>
        <w:lang w:val="fr-FR" w:eastAsia="en-US" w:bidi="ar-SA"/>
      </w:rPr>
    </w:lvl>
    <w:lvl w:ilvl="5">
      <w:numFmt w:val="bullet"/>
      <w:lvlText w:val=""/>
      <w:lvlJc w:val="left"/>
      <w:pPr>
        <w:tabs>
          <w:tab w:val="num" w:pos="0"/>
        </w:tabs>
        <w:ind w:left="7868" w:hanging="242"/>
      </w:pPr>
      <w:rPr>
        <w:rFonts w:ascii="Symbol" w:hAnsi="Symbol" w:cs="Symbol" w:hint="default"/>
        <w:lang w:val="fr-FR" w:eastAsia="en-US" w:bidi="ar-SA"/>
      </w:rPr>
    </w:lvl>
    <w:lvl w:ilvl="6">
      <w:numFmt w:val="bullet"/>
      <w:lvlText w:val=""/>
      <w:lvlJc w:val="left"/>
      <w:pPr>
        <w:tabs>
          <w:tab w:val="num" w:pos="0"/>
        </w:tabs>
        <w:ind w:left="8534" w:hanging="242"/>
      </w:pPr>
      <w:rPr>
        <w:rFonts w:ascii="Symbol" w:hAnsi="Symbol" w:cs="Symbol" w:hint="default"/>
        <w:lang w:val="fr-FR" w:eastAsia="en-US" w:bidi="ar-SA"/>
      </w:rPr>
    </w:lvl>
    <w:lvl w:ilvl="7">
      <w:numFmt w:val="bullet"/>
      <w:lvlText w:val=""/>
      <w:lvlJc w:val="left"/>
      <w:pPr>
        <w:tabs>
          <w:tab w:val="num" w:pos="0"/>
        </w:tabs>
        <w:ind w:left="9200" w:hanging="242"/>
      </w:pPr>
      <w:rPr>
        <w:rFonts w:ascii="Symbol" w:hAnsi="Symbol" w:cs="Symbol" w:hint="default"/>
        <w:lang w:val="fr-FR" w:eastAsia="en-US" w:bidi="ar-SA"/>
      </w:rPr>
    </w:lvl>
    <w:lvl w:ilvl="8">
      <w:numFmt w:val="bullet"/>
      <w:lvlText w:val=""/>
      <w:lvlJc w:val="left"/>
      <w:pPr>
        <w:tabs>
          <w:tab w:val="num" w:pos="0"/>
        </w:tabs>
        <w:ind w:left="9866" w:hanging="242"/>
      </w:pPr>
      <w:rPr>
        <w:rFonts w:ascii="Symbol" w:hAnsi="Symbol" w:cs="Symbol" w:hint="default"/>
        <w:lang w:val="fr-FR" w:eastAsia="en-US" w:bidi="ar-SA"/>
      </w:rPr>
    </w:lvl>
  </w:abstractNum>
  <w:abstractNum w:abstractNumId="7" w15:restartNumberingAfterBreak="0">
    <w:nsid w:val="21C129DF"/>
    <w:multiLevelType w:val="multilevel"/>
    <w:tmpl w:val="EE18D596"/>
    <w:lvl w:ilvl="0">
      <w:start w:val="1"/>
      <w:numFmt w:val="decimal"/>
      <w:lvlText w:val="%1."/>
      <w:lvlJc w:val="left"/>
      <w:pPr>
        <w:tabs>
          <w:tab w:val="num" w:pos="0"/>
        </w:tabs>
        <w:ind w:left="1146" w:hanging="360"/>
      </w:pPr>
      <w:rPr>
        <w:b/>
      </w:r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8" w15:restartNumberingAfterBreak="0">
    <w:nsid w:val="4B8913C2"/>
    <w:multiLevelType w:val="multilevel"/>
    <w:tmpl w:val="2116ACE6"/>
    <w:lvl w:ilvl="0">
      <w:start w:val="1"/>
      <w:numFmt w:val="decimal"/>
      <w:lvlText w:val="%1."/>
      <w:lvlJc w:val="left"/>
      <w:pPr>
        <w:tabs>
          <w:tab w:val="num" w:pos="450"/>
        </w:tabs>
        <w:ind w:left="450" w:hanging="360"/>
      </w:pPr>
    </w:lvl>
    <w:lvl w:ilvl="1">
      <w:start w:val="1"/>
      <w:numFmt w:val="bullet"/>
      <w:lvlText w:val="o"/>
      <w:lvlJc w:val="left"/>
      <w:pPr>
        <w:tabs>
          <w:tab w:val="num" w:pos="1170"/>
        </w:tabs>
        <w:ind w:left="1170" w:hanging="360"/>
      </w:pPr>
      <w:rPr>
        <w:rFonts w:ascii="Courier New" w:hAnsi="Courier New" w:cs="Courier New" w:hint="default"/>
      </w:rPr>
    </w:lvl>
    <w:lvl w:ilvl="2">
      <w:start w:val="1"/>
      <w:numFmt w:val="bullet"/>
      <w:lvlText w:val=""/>
      <w:lvlJc w:val="left"/>
      <w:pPr>
        <w:tabs>
          <w:tab w:val="num" w:pos="1890"/>
        </w:tabs>
        <w:ind w:left="1890" w:hanging="360"/>
      </w:pPr>
      <w:rPr>
        <w:rFonts w:ascii="Wingdings" w:hAnsi="Wingdings" w:cs="Wingdings" w:hint="default"/>
      </w:rPr>
    </w:lvl>
    <w:lvl w:ilvl="3">
      <w:start w:val="1"/>
      <w:numFmt w:val="bullet"/>
      <w:lvlText w:val=""/>
      <w:lvlJc w:val="left"/>
      <w:pPr>
        <w:tabs>
          <w:tab w:val="num" w:pos="2610"/>
        </w:tabs>
        <w:ind w:left="2610" w:hanging="360"/>
      </w:pPr>
      <w:rPr>
        <w:rFonts w:ascii="Symbol" w:hAnsi="Symbol" w:cs="Symbol" w:hint="default"/>
      </w:rPr>
    </w:lvl>
    <w:lvl w:ilvl="4">
      <w:start w:val="1"/>
      <w:numFmt w:val="bullet"/>
      <w:lvlText w:val="o"/>
      <w:lvlJc w:val="left"/>
      <w:pPr>
        <w:tabs>
          <w:tab w:val="num" w:pos="3330"/>
        </w:tabs>
        <w:ind w:left="3330" w:hanging="360"/>
      </w:pPr>
      <w:rPr>
        <w:rFonts w:ascii="Courier New" w:hAnsi="Courier New" w:cs="Courier New" w:hint="default"/>
      </w:rPr>
    </w:lvl>
    <w:lvl w:ilvl="5">
      <w:start w:val="1"/>
      <w:numFmt w:val="bullet"/>
      <w:lvlText w:val=""/>
      <w:lvlJc w:val="left"/>
      <w:pPr>
        <w:tabs>
          <w:tab w:val="num" w:pos="4050"/>
        </w:tabs>
        <w:ind w:left="4050" w:hanging="360"/>
      </w:pPr>
      <w:rPr>
        <w:rFonts w:ascii="Wingdings" w:hAnsi="Wingdings" w:cs="Wingdings" w:hint="default"/>
      </w:rPr>
    </w:lvl>
    <w:lvl w:ilvl="6">
      <w:start w:val="1"/>
      <w:numFmt w:val="bullet"/>
      <w:lvlText w:val=""/>
      <w:lvlJc w:val="left"/>
      <w:pPr>
        <w:tabs>
          <w:tab w:val="num" w:pos="4770"/>
        </w:tabs>
        <w:ind w:left="4770" w:hanging="360"/>
      </w:pPr>
      <w:rPr>
        <w:rFonts w:ascii="Symbol" w:hAnsi="Symbol" w:cs="Symbol" w:hint="default"/>
      </w:rPr>
    </w:lvl>
    <w:lvl w:ilvl="7">
      <w:start w:val="1"/>
      <w:numFmt w:val="bullet"/>
      <w:lvlText w:val="o"/>
      <w:lvlJc w:val="left"/>
      <w:pPr>
        <w:tabs>
          <w:tab w:val="num" w:pos="5490"/>
        </w:tabs>
        <w:ind w:left="5490" w:hanging="360"/>
      </w:pPr>
      <w:rPr>
        <w:rFonts w:ascii="Courier New" w:hAnsi="Courier New" w:cs="Courier New" w:hint="default"/>
      </w:rPr>
    </w:lvl>
    <w:lvl w:ilvl="8">
      <w:start w:val="1"/>
      <w:numFmt w:val="bullet"/>
      <w:lvlText w:val=""/>
      <w:lvlJc w:val="left"/>
      <w:pPr>
        <w:tabs>
          <w:tab w:val="num" w:pos="6210"/>
        </w:tabs>
        <w:ind w:left="6210" w:hanging="360"/>
      </w:pPr>
      <w:rPr>
        <w:rFonts w:ascii="Wingdings" w:hAnsi="Wingdings" w:cs="Wingdings" w:hint="default"/>
      </w:rPr>
    </w:lvl>
  </w:abstractNum>
  <w:abstractNum w:abstractNumId="9" w15:restartNumberingAfterBreak="0">
    <w:nsid w:val="52071C65"/>
    <w:multiLevelType w:val="multilevel"/>
    <w:tmpl w:val="81202734"/>
    <w:lvl w:ilvl="0">
      <w:start w:val="1"/>
      <w:numFmt w:val="decimal"/>
      <w:pStyle w:val="ListLegal1"/>
      <w:lvlText w:val="%1."/>
      <w:lvlJc w:val="left"/>
      <w:pPr>
        <w:tabs>
          <w:tab w:val="num" w:pos="624"/>
        </w:tabs>
        <w:ind w:left="624" w:hanging="624"/>
      </w:pPr>
      <w:rPr>
        <w:rFonts w:ascii="Times New Roman" w:eastAsia="Times New Roman" w:hAnsi="Times New Roman" w:cs="Times New Roman"/>
        <w:b w:val="0"/>
        <w:i w:val="0"/>
        <w:sz w:val="22"/>
      </w:rPr>
    </w:lvl>
    <w:lvl w:ilvl="1">
      <w:start w:val="1"/>
      <w:numFmt w:val="decimal"/>
      <w:pStyle w:val="ListLegal2"/>
      <w:lvlText w:val="%1.%2"/>
      <w:lvlJc w:val="left"/>
      <w:pPr>
        <w:tabs>
          <w:tab w:val="num" w:pos="1418"/>
        </w:tabs>
        <w:ind w:left="1418" w:hanging="794"/>
      </w:pPr>
      <w:rPr>
        <w:b w:val="0"/>
        <w:i w:val="0"/>
        <w:sz w:val="24"/>
      </w:rPr>
    </w:lvl>
    <w:lvl w:ilvl="2">
      <w:start w:val="1"/>
      <w:numFmt w:val="decimal"/>
      <w:pStyle w:val="ListLegal3"/>
      <w:lvlText w:val="%1.%2.%3"/>
      <w:lvlJc w:val="left"/>
      <w:pPr>
        <w:tabs>
          <w:tab w:val="num" w:pos="1928"/>
        </w:tabs>
        <w:ind w:left="1928" w:hanging="510"/>
      </w:pPr>
      <w:rPr>
        <w:b w:val="0"/>
        <w:i w:val="0"/>
        <w:sz w:val="22"/>
      </w:rPr>
    </w:lvl>
    <w:lvl w:ilvl="3">
      <w:start w:val="1"/>
      <w:numFmt w:val="decimal"/>
      <w:lvlText w:val="(%4)"/>
      <w:lvlJc w:val="left"/>
      <w:pPr>
        <w:tabs>
          <w:tab w:val="num" w:pos="2892"/>
        </w:tabs>
        <w:ind w:left="2892" w:hanging="510"/>
      </w:pPr>
      <w:rPr>
        <w:b w:val="0"/>
        <w:i w:val="0"/>
        <w:sz w:val="20"/>
      </w:rPr>
    </w:lvl>
    <w:lvl w:ilvl="4">
      <w:start w:val="1"/>
      <w:numFmt w:val="upperLetter"/>
      <w:lvlText w:val="(%5)"/>
      <w:lvlJc w:val="left"/>
      <w:pPr>
        <w:tabs>
          <w:tab w:val="num" w:pos="2892"/>
        </w:tabs>
        <w:ind w:left="2892" w:hanging="510"/>
      </w:pPr>
      <w:rPr>
        <w:b w:val="0"/>
        <w:i w:val="0"/>
        <w:sz w:val="18"/>
      </w:rPr>
    </w:lvl>
    <w:lvl w:ilvl="5">
      <w:start w:val="1"/>
      <w:numFmt w:val="decimal"/>
      <w:lvlText w:val="(%6)"/>
      <w:lvlJc w:val="left"/>
      <w:pPr>
        <w:tabs>
          <w:tab w:val="num" w:pos="3402"/>
        </w:tabs>
        <w:ind w:left="3402" w:hanging="510"/>
      </w:pPr>
      <w:rPr>
        <w:b w:val="0"/>
        <w:i w:val="0"/>
        <w:sz w:val="20"/>
      </w:rPr>
    </w:lvl>
    <w:lvl w:ilvl="6">
      <w:start w:val="1"/>
      <w:numFmt w:val="none"/>
      <w:suff w:val="nothing"/>
      <w:lvlText w:val=""/>
      <w:lvlJc w:val="left"/>
      <w:pPr>
        <w:tabs>
          <w:tab w:val="num" w:pos="0"/>
        </w:tabs>
        <w:ind w:left="454" w:firstLine="0"/>
      </w:pPr>
    </w:lvl>
    <w:lvl w:ilvl="7">
      <w:start w:val="1"/>
      <w:numFmt w:val="none"/>
      <w:suff w:val="nothing"/>
      <w:lvlText w:val=""/>
      <w:lvlJc w:val="left"/>
      <w:pPr>
        <w:tabs>
          <w:tab w:val="num" w:pos="0"/>
        </w:tabs>
        <w:ind w:left="454" w:firstLine="0"/>
      </w:pPr>
    </w:lvl>
    <w:lvl w:ilvl="8">
      <w:start w:val="1"/>
      <w:numFmt w:val="decimal"/>
      <w:lvlText w:val="SCHEDULE %9"/>
      <w:lvlJc w:val="left"/>
      <w:pPr>
        <w:tabs>
          <w:tab w:val="num" w:pos="454"/>
        </w:tabs>
        <w:ind w:left="454" w:firstLine="0"/>
      </w:pPr>
      <w:rPr>
        <w:b/>
        <w:i w:val="0"/>
        <w:caps/>
        <w:sz w:val="22"/>
      </w:rPr>
    </w:lvl>
  </w:abstractNum>
  <w:abstractNum w:abstractNumId="10" w15:restartNumberingAfterBreak="0">
    <w:nsid w:val="59A97B4B"/>
    <w:multiLevelType w:val="multilevel"/>
    <w:tmpl w:val="155E10AA"/>
    <w:lvl w:ilvl="0">
      <w:start w:val="1"/>
      <w:numFmt w:val="lowerRoman"/>
      <w:lvlText w:val="(%1)"/>
      <w:lvlJc w:val="left"/>
      <w:pPr>
        <w:tabs>
          <w:tab w:val="num" w:pos="0"/>
        </w:tabs>
        <w:ind w:left="1482" w:hanging="870"/>
      </w:pPr>
    </w:lvl>
    <w:lvl w:ilvl="1">
      <w:start w:val="1"/>
      <w:numFmt w:val="lowerLetter"/>
      <w:lvlText w:val="%2."/>
      <w:lvlJc w:val="left"/>
      <w:pPr>
        <w:tabs>
          <w:tab w:val="num" w:pos="0"/>
        </w:tabs>
        <w:ind w:left="1692" w:hanging="360"/>
      </w:pPr>
    </w:lvl>
    <w:lvl w:ilvl="2">
      <w:start w:val="1"/>
      <w:numFmt w:val="lowerRoman"/>
      <w:lvlText w:val="%3."/>
      <w:lvlJc w:val="right"/>
      <w:pPr>
        <w:tabs>
          <w:tab w:val="num" w:pos="0"/>
        </w:tabs>
        <w:ind w:left="2412" w:hanging="180"/>
      </w:pPr>
    </w:lvl>
    <w:lvl w:ilvl="3">
      <w:start w:val="1"/>
      <w:numFmt w:val="decimal"/>
      <w:lvlText w:val="%4."/>
      <w:lvlJc w:val="left"/>
      <w:pPr>
        <w:tabs>
          <w:tab w:val="num" w:pos="0"/>
        </w:tabs>
        <w:ind w:left="3132" w:hanging="360"/>
      </w:pPr>
    </w:lvl>
    <w:lvl w:ilvl="4">
      <w:start w:val="1"/>
      <w:numFmt w:val="lowerLetter"/>
      <w:lvlText w:val="%5."/>
      <w:lvlJc w:val="left"/>
      <w:pPr>
        <w:tabs>
          <w:tab w:val="num" w:pos="0"/>
        </w:tabs>
        <w:ind w:left="3852" w:hanging="360"/>
      </w:pPr>
    </w:lvl>
    <w:lvl w:ilvl="5">
      <w:start w:val="1"/>
      <w:numFmt w:val="lowerRoman"/>
      <w:lvlText w:val="%6."/>
      <w:lvlJc w:val="right"/>
      <w:pPr>
        <w:tabs>
          <w:tab w:val="num" w:pos="0"/>
        </w:tabs>
        <w:ind w:left="4572" w:hanging="180"/>
      </w:pPr>
    </w:lvl>
    <w:lvl w:ilvl="6">
      <w:start w:val="1"/>
      <w:numFmt w:val="decimal"/>
      <w:lvlText w:val="%7."/>
      <w:lvlJc w:val="left"/>
      <w:pPr>
        <w:tabs>
          <w:tab w:val="num" w:pos="0"/>
        </w:tabs>
        <w:ind w:left="5292" w:hanging="360"/>
      </w:pPr>
    </w:lvl>
    <w:lvl w:ilvl="7">
      <w:start w:val="1"/>
      <w:numFmt w:val="lowerLetter"/>
      <w:lvlText w:val="%8."/>
      <w:lvlJc w:val="left"/>
      <w:pPr>
        <w:tabs>
          <w:tab w:val="num" w:pos="0"/>
        </w:tabs>
        <w:ind w:left="6012" w:hanging="360"/>
      </w:pPr>
    </w:lvl>
    <w:lvl w:ilvl="8">
      <w:start w:val="1"/>
      <w:numFmt w:val="lowerRoman"/>
      <w:lvlText w:val="%9."/>
      <w:lvlJc w:val="right"/>
      <w:pPr>
        <w:tabs>
          <w:tab w:val="num" w:pos="0"/>
        </w:tabs>
        <w:ind w:left="6732" w:hanging="180"/>
      </w:pPr>
    </w:lvl>
  </w:abstractNum>
  <w:abstractNum w:abstractNumId="11" w15:restartNumberingAfterBreak="0">
    <w:nsid w:val="5D932034"/>
    <w:multiLevelType w:val="multilevel"/>
    <w:tmpl w:val="2FA41068"/>
    <w:lvl w:ilvl="0">
      <w:start w:val="1"/>
      <w:numFmt w:val="decimal"/>
      <w:lvlText w:val="%1."/>
      <w:lvlJc w:val="left"/>
      <w:pPr>
        <w:tabs>
          <w:tab w:val="num" w:pos="0"/>
        </w:tabs>
        <w:ind w:left="1146" w:hanging="360"/>
      </w:pPr>
      <w:rPr>
        <w:b/>
      </w:r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12" w15:restartNumberingAfterBreak="0">
    <w:nsid w:val="62E81FE6"/>
    <w:multiLevelType w:val="multilevel"/>
    <w:tmpl w:val="E5685652"/>
    <w:lvl w:ilvl="0">
      <w:start w:val="4"/>
      <w:numFmt w:val="decimal"/>
      <w:lvlText w:val="%1."/>
      <w:lvlJc w:val="left"/>
      <w:pPr>
        <w:tabs>
          <w:tab w:val="num" w:pos="0"/>
        </w:tabs>
        <w:ind w:left="360" w:hanging="360"/>
      </w:pPr>
    </w:lvl>
    <w:lvl w:ilvl="1">
      <w:start w:val="2"/>
      <w:numFmt w:val="decimal"/>
      <w:lvlText w:val="%1.%2."/>
      <w:lvlJc w:val="left"/>
      <w:pPr>
        <w:tabs>
          <w:tab w:val="num" w:pos="0"/>
        </w:tabs>
        <w:ind w:left="1400" w:hanging="720"/>
      </w:pPr>
    </w:lvl>
    <w:lvl w:ilvl="2">
      <w:start w:val="1"/>
      <w:numFmt w:val="decimal"/>
      <w:lvlText w:val="%1.%2.%3."/>
      <w:lvlJc w:val="left"/>
      <w:pPr>
        <w:tabs>
          <w:tab w:val="num" w:pos="0"/>
        </w:tabs>
        <w:ind w:left="2080" w:hanging="720"/>
      </w:pPr>
    </w:lvl>
    <w:lvl w:ilvl="3">
      <w:start w:val="1"/>
      <w:numFmt w:val="decimal"/>
      <w:lvlText w:val="%1.%2.%3.%4."/>
      <w:lvlJc w:val="left"/>
      <w:pPr>
        <w:tabs>
          <w:tab w:val="num" w:pos="0"/>
        </w:tabs>
        <w:ind w:left="3120" w:hanging="1080"/>
      </w:pPr>
    </w:lvl>
    <w:lvl w:ilvl="4">
      <w:start w:val="1"/>
      <w:numFmt w:val="decimal"/>
      <w:lvlText w:val="%1.%2.%3.%4.%5."/>
      <w:lvlJc w:val="left"/>
      <w:pPr>
        <w:tabs>
          <w:tab w:val="num" w:pos="0"/>
        </w:tabs>
        <w:ind w:left="3800" w:hanging="1080"/>
      </w:pPr>
    </w:lvl>
    <w:lvl w:ilvl="5">
      <w:start w:val="1"/>
      <w:numFmt w:val="decimal"/>
      <w:lvlText w:val="%1.%2.%3.%4.%5.%6."/>
      <w:lvlJc w:val="left"/>
      <w:pPr>
        <w:tabs>
          <w:tab w:val="num" w:pos="0"/>
        </w:tabs>
        <w:ind w:left="4840" w:hanging="1440"/>
      </w:pPr>
    </w:lvl>
    <w:lvl w:ilvl="6">
      <w:start w:val="1"/>
      <w:numFmt w:val="decimal"/>
      <w:lvlText w:val="%1.%2.%3.%4.%5.%6.%7."/>
      <w:lvlJc w:val="left"/>
      <w:pPr>
        <w:tabs>
          <w:tab w:val="num" w:pos="0"/>
        </w:tabs>
        <w:ind w:left="5520" w:hanging="1440"/>
      </w:pPr>
    </w:lvl>
    <w:lvl w:ilvl="7">
      <w:start w:val="1"/>
      <w:numFmt w:val="decimal"/>
      <w:lvlText w:val="%1.%2.%3.%4.%5.%6.%7.%8."/>
      <w:lvlJc w:val="left"/>
      <w:pPr>
        <w:tabs>
          <w:tab w:val="num" w:pos="0"/>
        </w:tabs>
        <w:ind w:left="6560" w:hanging="1800"/>
      </w:pPr>
    </w:lvl>
    <w:lvl w:ilvl="8">
      <w:start w:val="1"/>
      <w:numFmt w:val="decimal"/>
      <w:lvlText w:val="%1.%2.%3.%4.%5.%6.%7.%8.%9."/>
      <w:lvlJc w:val="left"/>
      <w:pPr>
        <w:tabs>
          <w:tab w:val="num" w:pos="0"/>
        </w:tabs>
        <w:ind w:left="7240" w:hanging="1800"/>
      </w:pPr>
    </w:lvl>
  </w:abstractNum>
  <w:abstractNum w:abstractNumId="13" w15:restartNumberingAfterBreak="0">
    <w:nsid w:val="684743A1"/>
    <w:multiLevelType w:val="multilevel"/>
    <w:tmpl w:val="C288714C"/>
    <w:lvl w:ilvl="0">
      <w:start w:val="1"/>
      <w:numFmt w:val="upperLetter"/>
      <w:pStyle w:val="AoALevel1ABC"/>
      <w:lvlText w:val="%1."/>
      <w:lvlJc w:val="left"/>
      <w:pPr>
        <w:tabs>
          <w:tab w:val="num" w:pos="1701"/>
        </w:tabs>
        <w:ind w:left="680" w:hanging="680"/>
      </w:pPr>
    </w:lvl>
    <w:lvl w:ilvl="1">
      <w:start w:val="1"/>
      <w:numFmt w:val="decimal"/>
      <w:pStyle w:val="AoALevel2Article1"/>
      <w:lvlText w:val="Article %2"/>
      <w:lvlJc w:val="left"/>
      <w:pPr>
        <w:tabs>
          <w:tab w:val="num" w:pos="0"/>
        </w:tabs>
        <w:ind w:left="1986" w:hanging="1418"/>
      </w:pPr>
    </w:lvl>
    <w:lvl w:ilvl="2">
      <w:start w:val="1"/>
      <w:numFmt w:val="decimal"/>
      <w:pStyle w:val="AoALevel3Article11"/>
      <w:lvlText w:val="%2.%3"/>
      <w:lvlJc w:val="left"/>
      <w:pPr>
        <w:tabs>
          <w:tab w:val="num" w:pos="0"/>
        </w:tabs>
        <w:ind w:left="680" w:hanging="680"/>
      </w:pPr>
      <w:rPr>
        <w:rFonts w:ascii="Times New Roman" w:eastAsia="Times New Roman" w:hAnsi="Times New Roman" w:cs="Times New Roman"/>
        <w:b w:val="0"/>
      </w:rPr>
    </w:lvl>
    <w:lvl w:ilvl="3">
      <w:start w:val="1"/>
      <w:numFmt w:val="decimal"/>
      <w:pStyle w:val="AoALevel4Article111"/>
      <w:lvlText w:val="%2.%3.%4"/>
      <w:lvlJc w:val="left"/>
      <w:pPr>
        <w:tabs>
          <w:tab w:val="num" w:pos="0"/>
        </w:tabs>
        <w:ind w:left="680" w:hanging="68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6B70759B"/>
    <w:multiLevelType w:val="multilevel"/>
    <w:tmpl w:val="4BB864B8"/>
    <w:lvl w:ilvl="0">
      <w:start w:val="1"/>
      <w:numFmt w:val="lowerRoman"/>
      <w:lvlText w:val="(%1)"/>
      <w:lvlJc w:val="left"/>
      <w:pPr>
        <w:tabs>
          <w:tab w:val="num" w:pos="0"/>
        </w:tabs>
        <w:ind w:left="4539" w:hanging="242"/>
      </w:pPr>
      <w:rPr>
        <w:rFonts w:ascii="Times New Roman" w:eastAsia="Times New Roman" w:hAnsi="Times New Roman" w:cs="Times New Roman"/>
        <w:b w:val="0"/>
        <w:bCs w:val="0"/>
        <w:i w:val="0"/>
        <w:iCs w:val="0"/>
        <w:spacing w:val="-1"/>
        <w:sz w:val="20"/>
        <w:szCs w:val="20"/>
        <w:lang w:val="fr-FR" w:eastAsia="en-US" w:bidi="ar-SA"/>
      </w:rPr>
    </w:lvl>
    <w:lvl w:ilvl="1">
      <w:numFmt w:val="bullet"/>
      <w:lvlText w:val=""/>
      <w:lvlJc w:val="left"/>
      <w:pPr>
        <w:tabs>
          <w:tab w:val="num" w:pos="0"/>
        </w:tabs>
        <w:ind w:left="5205" w:hanging="242"/>
      </w:pPr>
      <w:rPr>
        <w:rFonts w:ascii="Symbol" w:hAnsi="Symbol" w:cs="Symbol" w:hint="default"/>
        <w:lang w:val="fr-FR" w:eastAsia="en-US" w:bidi="ar-SA"/>
      </w:rPr>
    </w:lvl>
    <w:lvl w:ilvl="2">
      <w:numFmt w:val="bullet"/>
      <w:lvlText w:val=""/>
      <w:lvlJc w:val="left"/>
      <w:pPr>
        <w:tabs>
          <w:tab w:val="num" w:pos="0"/>
        </w:tabs>
        <w:ind w:left="5871" w:hanging="242"/>
      </w:pPr>
      <w:rPr>
        <w:rFonts w:ascii="Symbol" w:hAnsi="Symbol" w:cs="Symbol" w:hint="default"/>
        <w:lang w:val="fr-FR" w:eastAsia="en-US" w:bidi="ar-SA"/>
      </w:rPr>
    </w:lvl>
    <w:lvl w:ilvl="3">
      <w:numFmt w:val="bullet"/>
      <w:lvlText w:val=""/>
      <w:lvlJc w:val="left"/>
      <w:pPr>
        <w:tabs>
          <w:tab w:val="num" w:pos="0"/>
        </w:tabs>
        <w:ind w:left="6537" w:hanging="242"/>
      </w:pPr>
      <w:rPr>
        <w:rFonts w:ascii="Symbol" w:hAnsi="Symbol" w:cs="Symbol" w:hint="default"/>
        <w:lang w:val="fr-FR" w:eastAsia="en-US" w:bidi="ar-SA"/>
      </w:rPr>
    </w:lvl>
    <w:lvl w:ilvl="4">
      <w:numFmt w:val="bullet"/>
      <w:lvlText w:val=""/>
      <w:lvlJc w:val="left"/>
      <w:pPr>
        <w:tabs>
          <w:tab w:val="num" w:pos="0"/>
        </w:tabs>
        <w:ind w:left="7203" w:hanging="242"/>
      </w:pPr>
      <w:rPr>
        <w:rFonts w:ascii="Symbol" w:hAnsi="Symbol" w:cs="Symbol" w:hint="default"/>
        <w:lang w:val="fr-FR" w:eastAsia="en-US" w:bidi="ar-SA"/>
      </w:rPr>
    </w:lvl>
    <w:lvl w:ilvl="5">
      <w:numFmt w:val="bullet"/>
      <w:lvlText w:val=""/>
      <w:lvlJc w:val="left"/>
      <w:pPr>
        <w:tabs>
          <w:tab w:val="num" w:pos="0"/>
        </w:tabs>
        <w:ind w:left="7868" w:hanging="242"/>
      </w:pPr>
      <w:rPr>
        <w:rFonts w:ascii="Symbol" w:hAnsi="Symbol" w:cs="Symbol" w:hint="default"/>
        <w:lang w:val="fr-FR" w:eastAsia="en-US" w:bidi="ar-SA"/>
      </w:rPr>
    </w:lvl>
    <w:lvl w:ilvl="6">
      <w:numFmt w:val="bullet"/>
      <w:lvlText w:val=""/>
      <w:lvlJc w:val="left"/>
      <w:pPr>
        <w:tabs>
          <w:tab w:val="num" w:pos="0"/>
        </w:tabs>
        <w:ind w:left="8534" w:hanging="242"/>
      </w:pPr>
      <w:rPr>
        <w:rFonts w:ascii="Symbol" w:hAnsi="Symbol" w:cs="Symbol" w:hint="default"/>
        <w:lang w:val="fr-FR" w:eastAsia="en-US" w:bidi="ar-SA"/>
      </w:rPr>
    </w:lvl>
    <w:lvl w:ilvl="7">
      <w:numFmt w:val="bullet"/>
      <w:lvlText w:val=""/>
      <w:lvlJc w:val="left"/>
      <w:pPr>
        <w:tabs>
          <w:tab w:val="num" w:pos="0"/>
        </w:tabs>
        <w:ind w:left="9200" w:hanging="242"/>
      </w:pPr>
      <w:rPr>
        <w:rFonts w:ascii="Symbol" w:hAnsi="Symbol" w:cs="Symbol" w:hint="default"/>
        <w:lang w:val="fr-FR" w:eastAsia="en-US" w:bidi="ar-SA"/>
      </w:rPr>
    </w:lvl>
    <w:lvl w:ilvl="8">
      <w:numFmt w:val="bullet"/>
      <w:lvlText w:val=""/>
      <w:lvlJc w:val="left"/>
      <w:pPr>
        <w:tabs>
          <w:tab w:val="num" w:pos="0"/>
        </w:tabs>
        <w:ind w:left="9866" w:hanging="242"/>
      </w:pPr>
      <w:rPr>
        <w:rFonts w:ascii="Symbol" w:hAnsi="Symbol" w:cs="Symbol" w:hint="default"/>
        <w:lang w:val="fr-FR" w:eastAsia="en-US" w:bidi="ar-SA"/>
      </w:rPr>
    </w:lvl>
  </w:abstractNum>
  <w:abstractNum w:abstractNumId="15" w15:restartNumberingAfterBreak="0">
    <w:nsid w:val="6EB55E7D"/>
    <w:multiLevelType w:val="multilevel"/>
    <w:tmpl w:val="A7EED352"/>
    <w:lvl w:ilvl="0">
      <w:start w:val="1"/>
      <w:numFmt w:val="decimal"/>
      <w:lvlText w:val="%1."/>
      <w:lvlJc w:val="left"/>
      <w:pPr>
        <w:tabs>
          <w:tab w:val="num" w:pos="450"/>
        </w:tabs>
        <w:ind w:left="450" w:hanging="360"/>
      </w:pPr>
    </w:lvl>
    <w:lvl w:ilvl="1">
      <w:start w:val="1"/>
      <w:numFmt w:val="bullet"/>
      <w:lvlText w:val="o"/>
      <w:lvlJc w:val="left"/>
      <w:pPr>
        <w:tabs>
          <w:tab w:val="num" w:pos="1170"/>
        </w:tabs>
        <w:ind w:left="1170" w:hanging="360"/>
      </w:pPr>
      <w:rPr>
        <w:rFonts w:ascii="Courier New" w:hAnsi="Courier New" w:cs="Courier New" w:hint="default"/>
      </w:rPr>
    </w:lvl>
    <w:lvl w:ilvl="2">
      <w:start w:val="1"/>
      <w:numFmt w:val="bullet"/>
      <w:lvlText w:val=""/>
      <w:lvlJc w:val="left"/>
      <w:pPr>
        <w:tabs>
          <w:tab w:val="num" w:pos="1890"/>
        </w:tabs>
        <w:ind w:left="1890" w:hanging="360"/>
      </w:pPr>
      <w:rPr>
        <w:rFonts w:ascii="Wingdings" w:hAnsi="Wingdings" w:cs="Wingdings" w:hint="default"/>
      </w:rPr>
    </w:lvl>
    <w:lvl w:ilvl="3">
      <w:start w:val="1"/>
      <w:numFmt w:val="bullet"/>
      <w:lvlText w:val=""/>
      <w:lvlJc w:val="left"/>
      <w:pPr>
        <w:tabs>
          <w:tab w:val="num" w:pos="2610"/>
        </w:tabs>
        <w:ind w:left="2610" w:hanging="360"/>
      </w:pPr>
      <w:rPr>
        <w:rFonts w:ascii="Symbol" w:hAnsi="Symbol" w:cs="Symbol" w:hint="default"/>
      </w:rPr>
    </w:lvl>
    <w:lvl w:ilvl="4">
      <w:start w:val="1"/>
      <w:numFmt w:val="bullet"/>
      <w:lvlText w:val="o"/>
      <w:lvlJc w:val="left"/>
      <w:pPr>
        <w:tabs>
          <w:tab w:val="num" w:pos="3330"/>
        </w:tabs>
        <w:ind w:left="3330" w:hanging="360"/>
      </w:pPr>
      <w:rPr>
        <w:rFonts w:ascii="Courier New" w:hAnsi="Courier New" w:cs="Courier New" w:hint="default"/>
      </w:rPr>
    </w:lvl>
    <w:lvl w:ilvl="5">
      <w:start w:val="1"/>
      <w:numFmt w:val="bullet"/>
      <w:lvlText w:val=""/>
      <w:lvlJc w:val="left"/>
      <w:pPr>
        <w:tabs>
          <w:tab w:val="num" w:pos="4050"/>
        </w:tabs>
        <w:ind w:left="4050" w:hanging="360"/>
      </w:pPr>
      <w:rPr>
        <w:rFonts w:ascii="Wingdings" w:hAnsi="Wingdings" w:cs="Wingdings" w:hint="default"/>
      </w:rPr>
    </w:lvl>
    <w:lvl w:ilvl="6">
      <w:start w:val="1"/>
      <w:numFmt w:val="bullet"/>
      <w:lvlText w:val=""/>
      <w:lvlJc w:val="left"/>
      <w:pPr>
        <w:tabs>
          <w:tab w:val="num" w:pos="4770"/>
        </w:tabs>
        <w:ind w:left="4770" w:hanging="360"/>
      </w:pPr>
      <w:rPr>
        <w:rFonts w:ascii="Symbol" w:hAnsi="Symbol" w:cs="Symbol" w:hint="default"/>
      </w:rPr>
    </w:lvl>
    <w:lvl w:ilvl="7">
      <w:start w:val="1"/>
      <w:numFmt w:val="bullet"/>
      <w:lvlText w:val="o"/>
      <w:lvlJc w:val="left"/>
      <w:pPr>
        <w:tabs>
          <w:tab w:val="num" w:pos="5490"/>
        </w:tabs>
        <w:ind w:left="5490" w:hanging="360"/>
      </w:pPr>
      <w:rPr>
        <w:rFonts w:ascii="Courier New" w:hAnsi="Courier New" w:cs="Courier New" w:hint="default"/>
      </w:rPr>
    </w:lvl>
    <w:lvl w:ilvl="8">
      <w:start w:val="1"/>
      <w:numFmt w:val="bullet"/>
      <w:lvlText w:val=""/>
      <w:lvlJc w:val="left"/>
      <w:pPr>
        <w:tabs>
          <w:tab w:val="num" w:pos="6210"/>
        </w:tabs>
        <w:ind w:left="6210" w:hanging="360"/>
      </w:pPr>
      <w:rPr>
        <w:rFonts w:ascii="Wingdings" w:hAnsi="Wingdings" w:cs="Wingdings" w:hint="default"/>
      </w:rPr>
    </w:lvl>
  </w:abstractNum>
  <w:abstractNum w:abstractNumId="16" w15:restartNumberingAfterBreak="0">
    <w:nsid w:val="72417E69"/>
    <w:multiLevelType w:val="multilevel"/>
    <w:tmpl w:val="76D8DD50"/>
    <w:lvl w:ilvl="0">
      <w:start w:val="1"/>
      <w:numFmt w:val="lowerRoman"/>
      <w:lvlText w:val="(%1)"/>
      <w:lvlJc w:val="left"/>
      <w:pPr>
        <w:tabs>
          <w:tab w:val="num" w:pos="0"/>
        </w:tabs>
        <w:ind w:left="1422" w:hanging="810"/>
      </w:pPr>
    </w:lvl>
    <w:lvl w:ilvl="1">
      <w:start w:val="1"/>
      <w:numFmt w:val="lowerLetter"/>
      <w:lvlText w:val="%2."/>
      <w:lvlJc w:val="left"/>
      <w:pPr>
        <w:tabs>
          <w:tab w:val="num" w:pos="0"/>
        </w:tabs>
        <w:ind w:left="1692" w:hanging="360"/>
      </w:pPr>
    </w:lvl>
    <w:lvl w:ilvl="2">
      <w:start w:val="1"/>
      <w:numFmt w:val="lowerRoman"/>
      <w:lvlText w:val="%3."/>
      <w:lvlJc w:val="right"/>
      <w:pPr>
        <w:tabs>
          <w:tab w:val="num" w:pos="0"/>
        </w:tabs>
        <w:ind w:left="2412" w:hanging="180"/>
      </w:pPr>
    </w:lvl>
    <w:lvl w:ilvl="3">
      <w:start w:val="1"/>
      <w:numFmt w:val="decimal"/>
      <w:lvlText w:val="%4."/>
      <w:lvlJc w:val="left"/>
      <w:pPr>
        <w:tabs>
          <w:tab w:val="num" w:pos="0"/>
        </w:tabs>
        <w:ind w:left="3132" w:hanging="360"/>
      </w:pPr>
    </w:lvl>
    <w:lvl w:ilvl="4">
      <w:start w:val="1"/>
      <w:numFmt w:val="lowerLetter"/>
      <w:lvlText w:val="%5."/>
      <w:lvlJc w:val="left"/>
      <w:pPr>
        <w:tabs>
          <w:tab w:val="num" w:pos="0"/>
        </w:tabs>
        <w:ind w:left="3852" w:hanging="360"/>
      </w:pPr>
    </w:lvl>
    <w:lvl w:ilvl="5">
      <w:start w:val="1"/>
      <w:numFmt w:val="lowerRoman"/>
      <w:lvlText w:val="%6."/>
      <w:lvlJc w:val="right"/>
      <w:pPr>
        <w:tabs>
          <w:tab w:val="num" w:pos="0"/>
        </w:tabs>
        <w:ind w:left="4572" w:hanging="180"/>
      </w:pPr>
    </w:lvl>
    <w:lvl w:ilvl="6">
      <w:start w:val="1"/>
      <w:numFmt w:val="decimal"/>
      <w:lvlText w:val="%7."/>
      <w:lvlJc w:val="left"/>
      <w:pPr>
        <w:tabs>
          <w:tab w:val="num" w:pos="0"/>
        </w:tabs>
        <w:ind w:left="5292" w:hanging="360"/>
      </w:pPr>
    </w:lvl>
    <w:lvl w:ilvl="7">
      <w:start w:val="1"/>
      <w:numFmt w:val="lowerLetter"/>
      <w:lvlText w:val="%8."/>
      <w:lvlJc w:val="left"/>
      <w:pPr>
        <w:tabs>
          <w:tab w:val="num" w:pos="0"/>
        </w:tabs>
        <w:ind w:left="6012" w:hanging="360"/>
      </w:pPr>
    </w:lvl>
    <w:lvl w:ilvl="8">
      <w:start w:val="1"/>
      <w:numFmt w:val="lowerRoman"/>
      <w:lvlText w:val="%9."/>
      <w:lvlJc w:val="right"/>
      <w:pPr>
        <w:tabs>
          <w:tab w:val="num" w:pos="0"/>
        </w:tabs>
        <w:ind w:left="6732" w:hanging="180"/>
      </w:pPr>
    </w:lvl>
  </w:abstractNum>
  <w:abstractNum w:abstractNumId="17" w15:restartNumberingAfterBreak="0">
    <w:nsid w:val="7C936154"/>
    <w:multiLevelType w:val="multilevel"/>
    <w:tmpl w:val="CB7CFF32"/>
    <w:lvl w:ilvl="0">
      <w:start w:val="1"/>
      <w:numFmt w:val="lowerRoman"/>
      <w:lvlText w:val="(%1)"/>
      <w:lvlJc w:val="left"/>
      <w:pPr>
        <w:tabs>
          <w:tab w:val="num" w:pos="0"/>
        </w:tabs>
        <w:ind w:left="1482" w:hanging="855"/>
      </w:pPr>
    </w:lvl>
    <w:lvl w:ilvl="1">
      <w:start w:val="1"/>
      <w:numFmt w:val="lowerLetter"/>
      <w:lvlText w:val="%2."/>
      <w:lvlJc w:val="left"/>
      <w:pPr>
        <w:tabs>
          <w:tab w:val="num" w:pos="0"/>
        </w:tabs>
        <w:ind w:left="1707" w:hanging="360"/>
      </w:pPr>
    </w:lvl>
    <w:lvl w:ilvl="2">
      <w:start w:val="1"/>
      <w:numFmt w:val="lowerRoman"/>
      <w:lvlText w:val="%3."/>
      <w:lvlJc w:val="right"/>
      <w:pPr>
        <w:tabs>
          <w:tab w:val="num" w:pos="0"/>
        </w:tabs>
        <w:ind w:left="2427" w:hanging="180"/>
      </w:pPr>
    </w:lvl>
    <w:lvl w:ilvl="3">
      <w:start w:val="1"/>
      <w:numFmt w:val="decimal"/>
      <w:lvlText w:val="%4."/>
      <w:lvlJc w:val="left"/>
      <w:pPr>
        <w:tabs>
          <w:tab w:val="num" w:pos="0"/>
        </w:tabs>
        <w:ind w:left="3147" w:hanging="360"/>
      </w:pPr>
    </w:lvl>
    <w:lvl w:ilvl="4">
      <w:start w:val="1"/>
      <w:numFmt w:val="lowerLetter"/>
      <w:lvlText w:val="%5."/>
      <w:lvlJc w:val="left"/>
      <w:pPr>
        <w:tabs>
          <w:tab w:val="num" w:pos="0"/>
        </w:tabs>
        <w:ind w:left="3867" w:hanging="360"/>
      </w:pPr>
    </w:lvl>
    <w:lvl w:ilvl="5">
      <w:start w:val="1"/>
      <w:numFmt w:val="lowerRoman"/>
      <w:lvlText w:val="%6."/>
      <w:lvlJc w:val="right"/>
      <w:pPr>
        <w:tabs>
          <w:tab w:val="num" w:pos="0"/>
        </w:tabs>
        <w:ind w:left="4587" w:hanging="180"/>
      </w:pPr>
    </w:lvl>
    <w:lvl w:ilvl="6">
      <w:start w:val="1"/>
      <w:numFmt w:val="decimal"/>
      <w:lvlText w:val="%7."/>
      <w:lvlJc w:val="left"/>
      <w:pPr>
        <w:tabs>
          <w:tab w:val="num" w:pos="0"/>
        </w:tabs>
        <w:ind w:left="5307" w:hanging="360"/>
      </w:pPr>
    </w:lvl>
    <w:lvl w:ilvl="7">
      <w:start w:val="1"/>
      <w:numFmt w:val="lowerLetter"/>
      <w:lvlText w:val="%8."/>
      <w:lvlJc w:val="left"/>
      <w:pPr>
        <w:tabs>
          <w:tab w:val="num" w:pos="0"/>
        </w:tabs>
        <w:ind w:left="6027" w:hanging="360"/>
      </w:pPr>
    </w:lvl>
    <w:lvl w:ilvl="8">
      <w:start w:val="1"/>
      <w:numFmt w:val="lowerRoman"/>
      <w:lvlText w:val="%9."/>
      <w:lvlJc w:val="right"/>
      <w:pPr>
        <w:tabs>
          <w:tab w:val="num" w:pos="0"/>
        </w:tabs>
        <w:ind w:left="6747" w:hanging="180"/>
      </w:pPr>
    </w:lvl>
  </w:abstractNum>
  <w:num w:numId="1" w16cid:durableId="1869029282">
    <w:abstractNumId w:val="13"/>
  </w:num>
  <w:num w:numId="2" w16cid:durableId="2058238054">
    <w:abstractNumId w:val="12"/>
  </w:num>
  <w:num w:numId="3" w16cid:durableId="1354919753">
    <w:abstractNumId w:val="4"/>
  </w:num>
  <w:num w:numId="4" w16cid:durableId="297297781">
    <w:abstractNumId w:val="11"/>
  </w:num>
  <w:num w:numId="5" w16cid:durableId="1836648395">
    <w:abstractNumId w:val="15"/>
  </w:num>
  <w:num w:numId="6" w16cid:durableId="1104308234">
    <w:abstractNumId w:val="10"/>
  </w:num>
  <w:num w:numId="7" w16cid:durableId="205798535">
    <w:abstractNumId w:val="9"/>
  </w:num>
  <w:num w:numId="8" w16cid:durableId="648174882">
    <w:abstractNumId w:val="17"/>
  </w:num>
  <w:num w:numId="9" w16cid:durableId="1696298854">
    <w:abstractNumId w:val="1"/>
  </w:num>
  <w:num w:numId="10" w16cid:durableId="2068336821">
    <w:abstractNumId w:val="7"/>
  </w:num>
  <w:num w:numId="11" w16cid:durableId="104738299">
    <w:abstractNumId w:val="16"/>
  </w:num>
  <w:num w:numId="12" w16cid:durableId="377434418">
    <w:abstractNumId w:val="3"/>
  </w:num>
  <w:num w:numId="13" w16cid:durableId="256257599">
    <w:abstractNumId w:val="6"/>
  </w:num>
  <w:num w:numId="14" w16cid:durableId="181408127">
    <w:abstractNumId w:val="0"/>
  </w:num>
  <w:num w:numId="15" w16cid:durableId="1925147134">
    <w:abstractNumId w:val="14"/>
  </w:num>
  <w:num w:numId="16" w16cid:durableId="1559781138">
    <w:abstractNumId w:val="2"/>
  </w:num>
  <w:num w:numId="17" w16cid:durableId="791096155">
    <w:abstractNumId w:val="8"/>
  </w:num>
  <w:num w:numId="18" w16cid:durableId="708914874">
    <w:abstractNumId w:val="5"/>
    <w:lvlOverride w:ilvl="0">
      <w:startOverride w:val="1"/>
    </w:lvlOverride>
  </w:num>
  <w:num w:numId="19" w16cid:durableId="1372726189">
    <w:abstractNumId w:val="5"/>
    <w:lvlOverride w:ilvl="0">
      <w:startOverride w:val="1"/>
    </w:lvlOverride>
    <w:lvlOverride w:ilvl="1">
      <w:startOverride w:val="1"/>
    </w:lvlOverride>
  </w:num>
  <w:num w:numId="20" w16cid:durableId="244460718">
    <w:abstractNumId w:val="5"/>
  </w:num>
  <w:num w:numId="21" w16cid:durableId="1193345033">
    <w:abstractNumId w:val="5"/>
  </w:num>
  <w:num w:numId="22" w16cid:durableId="727262179">
    <w:abstractNumId w:val="5"/>
  </w:num>
  <w:num w:numId="23" w16cid:durableId="1516578366">
    <w:abstractNumId w:val="5"/>
    <w:lvlOverride w:ilvl="0">
      <w:startOverride w:val="1"/>
    </w:lvlOverride>
    <w:lvlOverride w:ilvl="1">
      <w:startOverride w:val="1"/>
    </w:lvlOverride>
    <w:lvlOverride w:ilvl="2">
      <w:startOverride w:val="1"/>
    </w:lvlOverride>
  </w:num>
  <w:num w:numId="24" w16cid:durableId="1719356029">
    <w:abstractNumId w:val="5"/>
  </w:num>
  <w:num w:numId="25" w16cid:durableId="1922911560">
    <w:abstractNumId w:val="5"/>
  </w:num>
  <w:num w:numId="26" w16cid:durableId="689373728">
    <w:abstractNumId w:val="5"/>
  </w:num>
  <w:num w:numId="27" w16cid:durableId="1208026150">
    <w:abstractNumId w:val="5"/>
    <w:lvlOverride w:ilvl="0">
      <w:startOverride w:val="1"/>
    </w:lvlOverride>
    <w:lvlOverride w:ilvl="1">
      <w:startOverride w:val="1"/>
    </w:lvlOverride>
    <w:lvlOverride w:ilvl="2">
      <w:startOverride w:val="1"/>
    </w:lvlOverride>
  </w:num>
  <w:num w:numId="28" w16cid:durableId="1467117314">
    <w:abstractNumId w:val="5"/>
  </w:num>
  <w:num w:numId="29" w16cid:durableId="1468475864">
    <w:abstractNumId w:val="5"/>
  </w:num>
  <w:num w:numId="30" w16cid:durableId="831676356">
    <w:abstractNumId w:val="5"/>
  </w:num>
  <w:num w:numId="31" w16cid:durableId="2136215954">
    <w:abstractNumId w:val="5"/>
  </w:num>
  <w:num w:numId="32" w16cid:durableId="564727579">
    <w:abstractNumId w:val="5"/>
  </w:num>
  <w:num w:numId="33" w16cid:durableId="109976253">
    <w:abstractNumId w:val="5"/>
  </w:num>
  <w:num w:numId="34" w16cid:durableId="1645892710">
    <w:abstractNumId w:val="5"/>
    <w:lvlOverride w:ilvl="0">
      <w:startOverride w:val="1"/>
    </w:lvlOverride>
    <w:lvlOverride w:ilvl="1">
      <w:startOverride w:val="1"/>
    </w:lvlOverride>
    <w:lvlOverride w:ilvl="2">
      <w:startOverride w:val="1"/>
    </w:lvlOverride>
  </w:num>
  <w:num w:numId="35" w16cid:durableId="957831129">
    <w:abstractNumId w:val="5"/>
  </w:num>
  <w:num w:numId="36" w16cid:durableId="606354776">
    <w:abstractNumId w:val="5"/>
  </w:num>
  <w:num w:numId="37" w16cid:durableId="129322431">
    <w:abstractNumId w:val="5"/>
  </w:num>
  <w:num w:numId="38" w16cid:durableId="1882590922">
    <w:abstractNumId w:val="5"/>
  </w:num>
  <w:num w:numId="39" w16cid:durableId="450516649">
    <w:abstractNumId w:val="5"/>
  </w:num>
  <w:num w:numId="40" w16cid:durableId="1142846538">
    <w:abstractNumId w:val="5"/>
    <w:lvlOverride w:ilvl="0">
      <w:startOverride w:val="1"/>
    </w:lvlOverride>
    <w:lvlOverride w:ilvl="1">
      <w:startOverride w:val="1"/>
    </w:lvlOverride>
    <w:lvlOverride w:ilvl="2">
      <w:startOverride w:val="1"/>
    </w:lvlOverride>
  </w:num>
  <w:num w:numId="41" w16cid:durableId="1168406186">
    <w:abstractNumId w:val="5"/>
  </w:num>
  <w:num w:numId="42" w16cid:durableId="678776823">
    <w:abstractNumId w:val="5"/>
  </w:num>
  <w:num w:numId="43" w16cid:durableId="1749813320">
    <w:abstractNumId w:val="5"/>
  </w:num>
  <w:num w:numId="44" w16cid:durableId="1016809350">
    <w:abstractNumId w:val="5"/>
  </w:num>
  <w:num w:numId="45" w16cid:durableId="894320776">
    <w:abstractNumId w:val="5"/>
    <w:lvlOverride w:ilvl="0">
      <w:startOverride w:val="1"/>
    </w:lvlOverride>
    <w:lvlOverride w:ilvl="1">
      <w:startOverride w:val="1"/>
    </w:lvlOverride>
    <w:lvlOverride w:ilvl="2">
      <w:startOverride w:val="1"/>
    </w:lvlOverride>
  </w:num>
  <w:num w:numId="46" w16cid:durableId="1900049746">
    <w:abstractNumId w:val="5"/>
  </w:num>
  <w:num w:numId="47" w16cid:durableId="653879253">
    <w:abstractNumId w:val="5"/>
  </w:num>
  <w:num w:numId="48" w16cid:durableId="1149785474">
    <w:abstractNumId w:val="5"/>
  </w:num>
  <w:num w:numId="49" w16cid:durableId="322437313">
    <w:abstractNumId w:val="5"/>
  </w:num>
  <w:num w:numId="50" w16cid:durableId="2078942559">
    <w:abstractNumId w:val="5"/>
  </w:num>
  <w:num w:numId="51" w16cid:durableId="1261254141">
    <w:abstractNumId w:val="5"/>
  </w:num>
  <w:num w:numId="52" w16cid:durableId="563374714">
    <w:abstractNumId w:val="5"/>
    <w:lvlOverride w:ilvl="0">
      <w:startOverride w:val="1"/>
    </w:lvlOverride>
    <w:lvlOverride w:ilvl="1">
      <w:startOverride w:val="1"/>
    </w:lvlOverride>
    <w:lvlOverride w:ilvl="2">
      <w:startOverride w:val="3"/>
    </w:lvlOverride>
  </w:num>
  <w:num w:numId="53" w16cid:durableId="1984116534">
    <w:abstractNumId w:val="5"/>
  </w:num>
  <w:num w:numId="54" w16cid:durableId="1381827777">
    <w:abstractNumId w:val="5"/>
  </w:num>
  <w:num w:numId="55" w16cid:durableId="1972326922">
    <w:abstractNumId w:val="5"/>
  </w:num>
  <w:num w:numId="56" w16cid:durableId="522938235">
    <w:abstractNumId w:val="5"/>
  </w:num>
  <w:num w:numId="57" w16cid:durableId="374504443">
    <w:abstractNumId w:val="5"/>
  </w:num>
  <w:num w:numId="58" w16cid:durableId="971256028">
    <w:abstractNumId w:val="5"/>
  </w:num>
  <w:num w:numId="59" w16cid:durableId="1505049763">
    <w:abstractNumId w:val="5"/>
  </w:num>
  <w:num w:numId="60" w16cid:durableId="13657224">
    <w:abstractNumId w:val="5"/>
  </w:num>
  <w:num w:numId="61" w16cid:durableId="173613530">
    <w:abstractNumId w:val="5"/>
  </w:num>
  <w:num w:numId="62" w16cid:durableId="601106630">
    <w:abstractNumId w:val="5"/>
    <w:lvlOverride w:ilvl="0">
      <w:startOverride w:val="1"/>
    </w:lvlOverride>
  </w:num>
  <w:num w:numId="63" w16cid:durableId="1464154484">
    <w:abstractNumId w:val="5"/>
    <w:lvlOverride w:ilvl="0">
      <w:startOverride w:val="1"/>
    </w:lvlOverride>
    <w:lvlOverride w:ilvl="1">
      <w:startOverride w:val="1"/>
    </w:lvlOverride>
  </w:num>
  <w:num w:numId="64" w16cid:durableId="1077167835">
    <w:abstractNumId w:val="5"/>
  </w:num>
  <w:num w:numId="65" w16cid:durableId="76295896">
    <w:abstractNumId w:val="5"/>
  </w:num>
  <w:num w:numId="66" w16cid:durableId="2116629986">
    <w:abstractNumId w:val="5"/>
  </w:num>
  <w:num w:numId="67" w16cid:durableId="1347169671">
    <w:abstractNumId w:val="5"/>
    <w:lvlOverride w:ilvl="0">
      <w:startOverride w:val="1"/>
    </w:lvlOverride>
    <w:lvlOverride w:ilvl="1">
      <w:startOverride w:val="1"/>
    </w:lvlOverride>
    <w:lvlOverride w:ilvl="2">
      <w:startOverride w:val="1"/>
    </w:lvlOverride>
  </w:num>
  <w:num w:numId="68" w16cid:durableId="1828941068">
    <w:abstractNumId w:val="5"/>
  </w:num>
  <w:num w:numId="69" w16cid:durableId="128211877">
    <w:abstractNumId w:val="5"/>
  </w:num>
  <w:num w:numId="70" w16cid:durableId="82578689">
    <w:abstractNumId w:val="5"/>
  </w:num>
  <w:num w:numId="71" w16cid:durableId="1741826506">
    <w:abstractNumId w:val="5"/>
    <w:lvlOverride w:ilvl="0">
      <w:startOverride w:val="1"/>
    </w:lvlOverride>
    <w:lvlOverride w:ilvl="1">
      <w:startOverride w:val="1"/>
    </w:lvlOverride>
    <w:lvlOverride w:ilvl="2">
      <w:startOverride w:val="1"/>
    </w:lvlOverride>
  </w:num>
  <w:num w:numId="72" w16cid:durableId="148597619">
    <w:abstractNumId w:val="5"/>
  </w:num>
  <w:num w:numId="73" w16cid:durableId="1265843277">
    <w:abstractNumId w:val="5"/>
  </w:num>
  <w:num w:numId="74" w16cid:durableId="541018475">
    <w:abstractNumId w:val="5"/>
  </w:num>
  <w:num w:numId="75" w16cid:durableId="427963765">
    <w:abstractNumId w:val="5"/>
  </w:num>
  <w:num w:numId="76" w16cid:durableId="595745932">
    <w:abstractNumId w:val="5"/>
  </w:num>
  <w:num w:numId="77" w16cid:durableId="1177310680">
    <w:abstractNumId w:val="5"/>
  </w:num>
  <w:num w:numId="78" w16cid:durableId="1118451613">
    <w:abstractNumId w:val="5"/>
    <w:lvlOverride w:ilvl="0">
      <w:startOverride w:val="1"/>
    </w:lvlOverride>
    <w:lvlOverride w:ilvl="1">
      <w:startOverride w:val="1"/>
    </w:lvlOverride>
    <w:lvlOverride w:ilvl="2">
      <w:startOverride w:val="1"/>
    </w:lvlOverride>
  </w:num>
  <w:num w:numId="79" w16cid:durableId="915941441">
    <w:abstractNumId w:val="5"/>
  </w:num>
  <w:num w:numId="80" w16cid:durableId="1793942860">
    <w:abstractNumId w:val="5"/>
  </w:num>
  <w:num w:numId="81" w16cid:durableId="223102200">
    <w:abstractNumId w:val="5"/>
  </w:num>
  <w:num w:numId="82" w16cid:durableId="1883899175">
    <w:abstractNumId w:val="5"/>
  </w:num>
  <w:num w:numId="83" w16cid:durableId="709383017">
    <w:abstractNumId w:val="5"/>
  </w:num>
  <w:num w:numId="84" w16cid:durableId="511451916">
    <w:abstractNumId w:val="5"/>
    <w:lvlOverride w:ilvl="0">
      <w:startOverride w:val="1"/>
    </w:lvlOverride>
    <w:lvlOverride w:ilvl="1">
      <w:startOverride w:val="1"/>
    </w:lvlOverride>
    <w:lvlOverride w:ilvl="2">
      <w:startOverride w:val="1"/>
    </w:lvlOverride>
  </w:num>
  <w:num w:numId="85" w16cid:durableId="1464541282">
    <w:abstractNumId w:val="5"/>
  </w:num>
  <w:num w:numId="86" w16cid:durableId="1162433663">
    <w:abstractNumId w:val="5"/>
  </w:num>
  <w:num w:numId="87" w16cid:durableId="619147138">
    <w:abstractNumId w:val="5"/>
  </w:num>
  <w:num w:numId="88" w16cid:durableId="530847469">
    <w:abstractNumId w:val="5"/>
  </w:num>
  <w:num w:numId="89" w16cid:durableId="1666275708">
    <w:abstractNumId w:val="5"/>
    <w:lvlOverride w:ilvl="0">
      <w:startOverride w:val="1"/>
    </w:lvlOverride>
    <w:lvlOverride w:ilvl="1">
      <w:startOverride w:val="1"/>
    </w:lvlOverride>
    <w:lvlOverride w:ilvl="2">
      <w:startOverride w:val="1"/>
    </w:lvlOverride>
  </w:num>
  <w:num w:numId="90" w16cid:durableId="2081559478">
    <w:abstractNumId w:val="5"/>
  </w:num>
  <w:num w:numId="91" w16cid:durableId="1172454247">
    <w:abstractNumId w:val="5"/>
  </w:num>
  <w:num w:numId="92" w16cid:durableId="1341152570">
    <w:abstractNumId w:val="5"/>
  </w:num>
  <w:num w:numId="93" w16cid:durableId="1294168133">
    <w:abstractNumId w:val="5"/>
  </w:num>
  <w:num w:numId="94" w16cid:durableId="902374772">
    <w:abstractNumId w:val="5"/>
  </w:num>
  <w:num w:numId="95" w16cid:durableId="1684624880">
    <w:abstractNumId w:val="5"/>
  </w:num>
  <w:num w:numId="96" w16cid:durableId="1547252167">
    <w:abstractNumId w:val="5"/>
  </w:num>
  <w:num w:numId="97" w16cid:durableId="1044059948">
    <w:abstractNumId w:val="5"/>
  </w:num>
  <w:num w:numId="98" w16cid:durableId="566234328">
    <w:abstractNumId w:val="5"/>
  </w:num>
  <w:num w:numId="99" w16cid:durableId="2052610520">
    <w:abstractNumId w:val="5"/>
  </w:num>
  <w:num w:numId="100" w16cid:durableId="1825396015">
    <w:abstractNumId w:val="5"/>
  </w:num>
  <w:num w:numId="101" w16cid:durableId="1744376048">
    <w:abstractNumId w:val="5"/>
  </w:num>
  <w:num w:numId="102" w16cid:durableId="1337533622">
    <w:abstractNumId w:val="5"/>
  </w:num>
  <w:num w:numId="103" w16cid:durableId="1145660971">
    <w:abstractNumId w:val="5"/>
  </w:num>
  <w:num w:numId="104" w16cid:durableId="350645599">
    <w:abstractNumId w:val="5"/>
  </w:num>
  <w:num w:numId="105" w16cid:durableId="518154569">
    <w:abstractNumId w:val="5"/>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5B1"/>
    <w:rsid w:val="00245C1C"/>
    <w:rsid w:val="007F5ECF"/>
    <w:rsid w:val="009F31F7"/>
    <w:rsid w:val="00C026BE"/>
    <w:rsid w:val="00EC45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B5127"/>
  <w15:docId w15:val="{D896D40E-40E5-4CEE-934C-2D92D2D03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heme="minorBidi"/>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sz w:val="20"/>
      <w:szCs w:val="20"/>
      <w14:ligatures w14:val="none"/>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Heading3">
    <w:name w:val="heading 3"/>
    <w:basedOn w:val="Normal"/>
    <w:next w:val="Normal"/>
    <w:link w:val="Heading3Char"/>
    <w:unhideWhenUsed/>
    <w:qFormat/>
    <w:pPr>
      <w:keepNext/>
      <w:keepLines/>
      <w:spacing w:before="160" w:after="80"/>
      <w:outlineLvl w:val="2"/>
    </w:pPr>
    <w:rPr>
      <w:rFonts w:cstheme="majorBidi"/>
      <w:color w:val="2F5496" w:themeColor="accent1" w:themeShade="BF"/>
      <w:sz w:val="28"/>
      <w:szCs w:val="28"/>
      <w:lang w:val="fr-FR"/>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F5496"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sz w:val="20"/>
      <w:szCs w:val="20"/>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rPr>
      <w:color w:val="404040"/>
      <w:sz w:val="20"/>
      <w:szCs w:val="20"/>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sz w:val="20"/>
      <w:szCs w:val="20"/>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sz w:val="20"/>
      <w:szCs w:val="20"/>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sz w:val="20"/>
      <w:szCs w:val="20"/>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rPr>
      <w:color w:val="404040"/>
      <w:sz w:val="20"/>
      <w:szCs w:val="20"/>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sz w:val="20"/>
      <w:szCs w:val="20"/>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rPr>
      <w:color w:val="404040"/>
      <w:sz w:val="20"/>
      <w:szCs w:val="20"/>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sz w:val="20"/>
      <w:szCs w:val="20"/>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sz w:val="20"/>
      <w:szCs w:val="20"/>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sz w:val="20"/>
      <w:szCs w:val="20"/>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rPr>
      <w:color w:val="404040"/>
      <w:sz w:val="20"/>
      <w:szCs w:val="20"/>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F5496"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F5496" w:themeColor="accent1" w:themeShade="BF"/>
      <w:sz w:val="32"/>
      <w:szCs w:val="32"/>
    </w:rPr>
  </w:style>
  <w:style w:type="character" w:customStyle="1" w:styleId="Heading4Char">
    <w:name w:val="Heading 4 Char"/>
    <w:basedOn w:val="DefaultParagraphFont"/>
    <w:link w:val="Heading4"/>
    <w:uiPriority w:val="9"/>
    <w:rPr>
      <w:rFonts w:ascii="Arial" w:eastAsia="Arial" w:hAnsi="Arial" w:cs="Arial"/>
      <w:i/>
      <w:iCs/>
      <w:color w:val="2F5496" w:themeColor="accent1" w:themeShade="BF"/>
    </w:rPr>
  </w:style>
  <w:style w:type="character" w:customStyle="1" w:styleId="Heading5Char">
    <w:name w:val="Heading 5 Char"/>
    <w:basedOn w:val="DefaultParagraphFont"/>
    <w:link w:val="Heading5"/>
    <w:uiPriority w:val="9"/>
    <w:rPr>
      <w:rFonts w:ascii="Arial" w:eastAsia="Arial" w:hAnsi="Arial" w:cs="Arial"/>
      <w:color w:val="2F5496"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rPr>
      <w:sz w:val="20"/>
      <w:szCs w:val="20"/>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BodyText2Char">
    <w:name w:val="Body Text 2 Char"/>
    <w:basedOn w:val="DefaultParagraphFont"/>
    <w:link w:val="BodyText2"/>
    <w:qFormat/>
    <w:rPr>
      <w:rFonts w:ascii="Times New Roman" w:eastAsia="Times New Roman" w:hAnsi="Times New Roman" w:cs="Times New Roman"/>
      <w:szCs w:val="20"/>
      <w14:ligatures w14:val="none"/>
    </w:rPr>
  </w:style>
  <w:style w:type="character" w:customStyle="1" w:styleId="FooterChar">
    <w:name w:val="Footer Char"/>
    <w:basedOn w:val="DefaultParagraphFont"/>
    <w:link w:val="Footer"/>
    <w:qFormat/>
    <w:rPr>
      <w:rFonts w:ascii="Times New Roman" w:eastAsia="Times New Roman" w:hAnsi="Times New Roman" w:cs="Times New Roman"/>
      <w:sz w:val="20"/>
      <w:szCs w:val="20"/>
      <w14:ligatures w14:val="none"/>
    </w:rPr>
  </w:style>
  <w:style w:type="character" w:customStyle="1" w:styleId="HeaderChar">
    <w:name w:val="Header Char"/>
    <w:basedOn w:val="DefaultParagraphFont"/>
    <w:link w:val="Header"/>
    <w:uiPriority w:val="99"/>
    <w:qFormat/>
    <w:rPr>
      <w:rFonts w:ascii="Times New Roman" w:eastAsia="Times New Roman" w:hAnsi="Times New Roman" w:cs="Times New Roman"/>
      <w:sz w:val="20"/>
      <w:szCs w:val="20"/>
      <w14:ligatures w14:val="none"/>
    </w:rPr>
  </w:style>
  <w:style w:type="character" w:customStyle="1" w:styleId="AoALevel2Article1Char">
    <w:name w:val="AoA Level 2 Article 1 Char"/>
    <w:basedOn w:val="DefaultParagraphFont"/>
    <w:link w:val="AoALevel2Article1"/>
    <w:qFormat/>
    <w:rPr>
      <w:rFonts w:cs="Times New Roman"/>
      <w:b/>
      <w:bCs/>
      <w:lang w:val="en-GB"/>
      <w14:ligatures w14:val="none"/>
    </w:rPr>
  </w:style>
  <w:style w:type="character" w:customStyle="1" w:styleId="AoALevel3Article11Char">
    <w:name w:val="AoA Level 3 Article 1.1 Char"/>
    <w:basedOn w:val="DefaultParagraphFont"/>
    <w:link w:val="AoALevel3Article11"/>
    <w:qFormat/>
    <w:rPr>
      <w:rFonts w:cs="Times New Roman"/>
      <w:bCs/>
      <w:lang w:val="en-GB"/>
      <w14:ligatures w14:val="none"/>
    </w:rPr>
  </w:style>
  <w:style w:type="character" w:customStyle="1" w:styleId="Heading20">
    <w:name w:val="Heading #2"/>
    <w:basedOn w:val="DefaultParagraphFont"/>
    <w:qFormat/>
    <w:rPr>
      <w:rFonts w:ascii="Times New Roman" w:eastAsia="Times New Roman" w:hAnsi="Times New Roman" w:cs="Times New Roman"/>
      <w:bCs w:val="0"/>
      <w:spacing w:val="0"/>
      <w:sz w:val="21"/>
      <w:szCs w:val="21"/>
      <w:u w:val="single"/>
    </w:rPr>
  </w:style>
  <w:style w:type="character" w:customStyle="1" w:styleId="BodytextBold">
    <w:name w:val="Body text + Bold"/>
    <w:basedOn w:val="DefaultParagraphFont"/>
    <w:qFormat/>
    <w:rPr>
      <w:rFonts w:ascii="Times New Roman" w:eastAsia="Times New Roman" w:hAnsi="Times New Roman" w:cs="Times New Roman"/>
      <w:b/>
      <w:bCs/>
      <w:i w:val="0"/>
      <w:iCs w:val="0"/>
      <w:caps w:val="0"/>
      <w:smallCaps w:val="0"/>
      <w:strike w:val="0"/>
      <w:spacing w:val="0"/>
      <w:sz w:val="21"/>
      <w:szCs w:val="21"/>
    </w:rPr>
  </w:style>
  <w:style w:type="character" w:customStyle="1" w:styleId="Bodytext11ptBold">
    <w:name w:val="Body text + 11 pt;Bold"/>
    <w:basedOn w:val="DefaultParagraphFont"/>
    <w:qFormat/>
    <w:rPr>
      <w:rFonts w:ascii="Times New Roman" w:eastAsia="Times New Roman" w:hAnsi="Times New Roman" w:cs="Times New Roman"/>
      <w:b/>
      <w:bCs/>
      <w:i w:val="0"/>
      <w:iCs w:val="0"/>
      <w:caps w:val="0"/>
      <w:smallCaps w:val="0"/>
      <w:strike w:val="0"/>
      <w:spacing w:val="0"/>
      <w:sz w:val="22"/>
      <w:szCs w:val="22"/>
    </w:rPr>
  </w:style>
  <w:style w:type="character" w:customStyle="1" w:styleId="BodytextSpacing-1pt">
    <w:name w:val="Body text + Spacing -1 pt"/>
    <w:basedOn w:val="DefaultParagraphFont"/>
    <w:qFormat/>
    <w:rPr>
      <w:rFonts w:ascii="Times New Roman" w:eastAsia="Times New Roman" w:hAnsi="Times New Roman" w:cs="Times New Roman"/>
      <w:b w:val="0"/>
      <w:bCs w:val="0"/>
      <w:i w:val="0"/>
      <w:iCs w:val="0"/>
      <w:caps w:val="0"/>
      <w:smallCaps w:val="0"/>
      <w:strike w:val="0"/>
      <w:spacing w:val="-20"/>
      <w:sz w:val="23"/>
      <w:szCs w:val="23"/>
    </w:rPr>
  </w:style>
  <w:style w:type="character" w:customStyle="1" w:styleId="Heading3Char">
    <w:name w:val="Heading 3 Char"/>
    <w:basedOn w:val="DefaultParagraphFont"/>
    <w:link w:val="Heading3"/>
    <w:qFormat/>
    <w:rPr>
      <w:rFonts w:ascii="Times New Roman" w:eastAsia="Times New Roman" w:hAnsi="Times New Roman" w:cstheme="majorBidi"/>
      <w:color w:val="2F5496" w:themeColor="accent1" w:themeShade="BF"/>
      <w:sz w:val="28"/>
      <w:szCs w:val="28"/>
      <w:lang w:val="fr-FR"/>
      <w14:ligatures w14:val="none"/>
    </w:rPr>
  </w:style>
  <w:style w:type="character" w:customStyle="1" w:styleId="BodyTextChar">
    <w:name w:val="Body Text Char"/>
    <w:basedOn w:val="DefaultParagraphFont"/>
    <w:link w:val="BodyText"/>
    <w:uiPriority w:val="99"/>
    <w:semiHidden/>
    <w:qFormat/>
    <w:rPr>
      <w:rFonts w:ascii="Times New Roman" w:eastAsia="Times New Roman" w:hAnsi="Times New Roman" w:cs="Times New Roman"/>
      <w:sz w:val="20"/>
      <w:szCs w:val="20"/>
      <w14:ligatures w14:val="none"/>
    </w:rPr>
  </w:style>
  <w:style w:type="character" w:customStyle="1" w:styleId="TitleChar">
    <w:name w:val="Title Char"/>
    <w:basedOn w:val="DefaultParagraphFont"/>
    <w:link w:val="Title"/>
    <w:qFormat/>
    <w:rPr>
      <w:rFonts w:ascii="Times New Roman" w:eastAsia="Times New Roman" w:hAnsi="Times New Roman" w:cstheme="majorBidi"/>
      <w:spacing w:val="-10"/>
      <w:sz w:val="56"/>
      <w:szCs w:val="56"/>
      <w:lang w:val="fr-FR"/>
      <w14:ligatures w14:val="none"/>
    </w:rPr>
  </w:style>
  <w:style w:type="character" w:customStyle="1" w:styleId="FootnoteTextChar">
    <w:name w:val="Footnote Text Char"/>
    <w:basedOn w:val="DefaultParagraphFont"/>
    <w:link w:val="FootnoteText"/>
    <w:uiPriority w:val="99"/>
    <w:semiHidden/>
    <w:qFormat/>
    <w:rPr>
      <w:rFonts w:ascii="Times New Roman" w:eastAsia="Times New Roman" w:hAnsi="Times New Roman" w:cs="Times New Roman"/>
      <w:sz w:val="20"/>
      <w:szCs w:val="20"/>
      <w14:ligatures w14:val="none"/>
    </w:rPr>
  </w:style>
  <w:style w:type="character" w:customStyle="1" w:styleId="Caractresdenotedebasdepage">
    <w:name w:val="Caractères de note de bas de page"/>
    <w:qFormat/>
    <w:rPr>
      <w:vertAlign w:val="superscript"/>
    </w:rPr>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customStyle="1" w:styleId="hps">
    <w:name w:val="hps"/>
    <w:basedOn w:val="DefaultParagraphFont"/>
    <w:qFormat/>
  </w:style>
  <w:style w:type="character" w:customStyle="1" w:styleId="shorttext">
    <w:name w:val="short_text"/>
    <w:basedOn w:val="DefaultParagraphFont"/>
    <w:qFormat/>
  </w:style>
  <w:style w:type="character" w:customStyle="1" w:styleId="Caractresdenotedefin">
    <w:name w:val="Caractères de note de fin"/>
    <w:qFormat/>
    <w:rPr>
      <w:vertAlign w:val="superscript"/>
    </w:rPr>
  </w:style>
  <w:style w:type="character" w:customStyle="1" w:styleId="EndnoteCharacters">
    <w:name w:val="Endnote Characters"/>
    <w:qFormat/>
    <w:rPr>
      <w:vertAlign w:val="superscript"/>
    </w:rPr>
  </w:style>
  <w:style w:type="character" w:styleId="EndnoteReference">
    <w:name w:val="endnote reference"/>
    <w:rPr>
      <w:vertAlign w:val="superscript"/>
    </w:rPr>
  </w:style>
  <w:style w:type="character" w:styleId="Hyperlink">
    <w:name w:val="Hyperlink"/>
    <w:rPr>
      <w:color w:val="000080"/>
      <w:u w:val="single"/>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link w:val="BodyTextChar"/>
    <w:uiPriority w:val="99"/>
    <w:semiHidden/>
    <w:unhideWhenUsed/>
    <w:pPr>
      <w:spacing w:after="120"/>
    </w:p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itre">
    <w:name w:val="Titre"/>
    <w:basedOn w:val="Normal"/>
    <w:next w:val="BodyText"/>
    <w:qFormat/>
    <w:pPr>
      <w:keepNext/>
      <w:spacing w:before="240" w:after="120"/>
    </w:pPr>
    <w:rPr>
      <w:sz w:val="28"/>
      <w:szCs w:val="28"/>
    </w:rPr>
  </w:style>
  <w:style w:type="paragraph" w:styleId="BodyText2">
    <w:name w:val="Body Text 2"/>
    <w:basedOn w:val="Normal"/>
    <w:link w:val="BodyText2Char"/>
    <w:qFormat/>
    <w:pPr>
      <w:jc w:val="both"/>
    </w:pPr>
    <w:rPr>
      <w:sz w:val="22"/>
    </w:rPr>
  </w:style>
  <w:style w:type="paragraph" w:customStyle="1" w:styleId="En-tteetpieddepage">
    <w:name w:val="En-tête et pied de page"/>
    <w:basedOn w:val="Normal"/>
    <w:qFormat/>
  </w:style>
  <w:style w:type="paragraph" w:customStyle="1" w:styleId="HeaderandFooter">
    <w:name w:val="Header and Footer"/>
    <w:basedOn w:val="Normal"/>
    <w:qFormat/>
  </w:style>
  <w:style w:type="paragraph" w:styleId="Footer">
    <w:name w:val="footer"/>
    <w:basedOn w:val="Normal"/>
    <w:link w:val="FooterChar"/>
    <w:pPr>
      <w:tabs>
        <w:tab w:val="center" w:pos="4703"/>
        <w:tab w:val="right" w:pos="9406"/>
      </w:tabs>
    </w:pPr>
  </w:style>
  <w:style w:type="paragraph" w:customStyle="1" w:styleId="Title3">
    <w:name w:val="Title 3"/>
    <w:basedOn w:val="Normal"/>
    <w:qFormat/>
    <w:pPr>
      <w:jc w:val="center"/>
    </w:pPr>
    <w:rPr>
      <w:b/>
      <w:caps/>
      <w:sz w:val="22"/>
      <w:u w:val="single"/>
    </w:rPr>
  </w:style>
  <w:style w:type="paragraph" w:styleId="ListParagraph">
    <w:name w:val="List Paragraph"/>
    <w:basedOn w:val="Normal"/>
    <w:uiPriority w:val="1"/>
    <w:qFormat/>
    <w:pPr>
      <w:ind w:left="720"/>
      <w:contextualSpacing/>
    </w:pPr>
  </w:style>
  <w:style w:type="paragraph" w:styleId="Header">
    <w:name w:val="header"/>
    <w:basedOn w:val="Normal"/>
    <w:link w:val="HeaderChar"/>
    <w:uiPriority w:val="99"/>
    <w:unhideWhenUsed/>
    <w:pPr>
      <w:tabs>
        <w:tab w:val="center" w:pos="4536"/>
        <w:tab w:val="right" w:pos="9072"/>
      </w:tabs>
    </w:pPr>
  </w:style>
  <w:style w:type="paragraph" w:customStyle="1" w:styleId="AoALevel1ABC">
    <w:name w:val="AoA Level 1 A. B. C."/>
    <w:basedOn w:val="Normal"/>
    <w:next w:val="Normal"/>
    <w:qFormat/>
    <w:pPr>
      <w:keepNext/>
      <w:numPr>
        <w:numId w:val="1"/>
      </w:numPr>
      <w:tabs>
        <w:tab w:val="left" w:pos="680"/>
      </w:tabs>
      <w:spacing w:after="100"/>
    </w:pPr>
    <w:rPr>
      <w:b/>
      <w:bCs/>
      <w:caps/>
      <w:sz w:val="22"/>
      <w:szCs w:val="22"/>
      <w:u w:val="single"/>
      <w:lang w:eastAsia="fr-FR"/>
    </w:rPr>
  </w:style>
  <w:style w:type="paragraph" w:customStyle="1" w:styleId="AoALevel2Article1">
    <w:name w:val="AoA Level 2 Article 1"/>
    <w:basedOn w:val="Normal"/>
    <w:next w:val="Normal"/>
    <w:link w:val="AoALevel2Article1Char"/>
    <w:qFormat/>
    <w:pPr>
      <w:keepNext/>
      <w:numPr>
        <w:ilvl w:val="1"/>
        <w:numId w:val="1"/>
      </w:numPr>
      <w:tabs>
        <w:tab w:val="left" w:pos="1418"/>
      </w:tabs>
      <w:spacing w:after="100"/>
      <w:jc w:val="both"/>
    </w:pPr>
    <w:rPr>
      <w:b/>
      <w:bCs/>
      <w:sz w:val="22"/>
      <w:szCs w:val="22"/>
      <w:lang w:val="en-GB"/>
    </w:rPr>
  </w:style>
  <w:style w:type="paragraph" w:customStyle="1" w:styleId="AoALevel3Article11">
    <w:name w:val="AoA Level 3 Article 1.1"/>
    <w:basedOn w:val="Normal"/>
    <w:link w:val="AoALevel3Article11Char"/>
    <w:qFormat/>
    <w:pPr>
      <w:numPr>
        <w:ilvl w:val="2"/>
        <w:numId w:val="1"/>
      </w:numPr>
      <w:spacing w:after="240"/>
      <w:jc w:val="both"/>
    </w:pPr>
    <w:rPr>
      <w:bCs/>
      <w:sz w:val="22"/>
      <w:szCs w:val="22"/>
      <w:lang w:val="en-GB"/>
    </w:rPr>
  </w:style>
  <w:style w:type="paragraph" w:customStyle="1" w:styleId="AoALevel4Article111">
    <w:name w:val="AoA Level 4 Article 1.1.1"/>
    <w:basedOn w:val="Normal"/>
    <w:next w:val="Normal"/>
    <w:qFormat/>
    <w:pPr>
      <w:numPr>
        <w:ilvl w:val="3"/>
        <w:numId w:val="1"/>
      </w:numPr>
      <w:spacing w:after="100"/>
      <w:jc w:val="both"/>
    </w:pPr>
    <w:rPr>
      <w:bCs/>
      <w:sz w:val="22"/>
      <w:szCs w:val="22"/>
      <w:lang w:val="en-GB"/>
    </w:rPr>
  </w:style>
  <w:style w:type="paragraph" w:customStyle="1" w:styleId="StyleAoALevel1ABCNotBoldNotAllcaps">
    <w:name w:val="Style AoA Level 1 A. B. C. + Not Bold Not All caps"/>
    <w:basedOn w:val="AoALevel1ABC"/>
    <w:qFormat/>
    <w:pPr>
      <w:numPr>
        <w:numId w:val="0"/>
      </w:numPr>
      <w:tabs>
        <w:tab w:val="left" w:pos="1701"/>
      </w:tabs>
      <w:ind w:left="680" w:hanging="680"/>
    </w:pPr>
    <w:rPr>
      <w:bCs w:val="0"/>
      <w:caps w:val="0"/>
    </w:rPr>
  </w:style>
  <w:style w:type="paragraph" w:styleId="NormalWeb">
    <w:name w:val="Normal (Web)"/>
    <w:basedOn w:val="Normal"/>
    <w:unhideWhenUsed/>
    <w:qFormat/>
    <w:pPr>
      <w:spacing w:beforeAutospacing="1" w:after="119"/>
    </w:pPr>
    <w:rPr>
      <w:sz w:val="24"/>
      <w:szCs w:val="24"/>
      <w:lang w:val="fr-LU" w:eastAsia="fr-LU"/>
    </w:rPr>
  </w:style>
  <w:style w:type="paragraph" w:styleId="Revision">
    <w:name w:val="Revision"/>
    <w:uiPriority w:val="99"/>
    <w:semiHidden/>
    <w:qFormat/>
    <w:rPr>
      <w:rFonts w:cs="Times New Roman"/>
      <w:sz w:val="20"/>
      <w:szCs w:val="20"/>
      <w14:ligatures w14:val="none"/>
    </w:rPr>
  </w:style>
  <w:style w:type="paragraph" w:customStyle="1" w:styleId="ListLegal1">
    <w:name w:val="List Legal 1"/>
    <w:basedOn w:val="Normal"/>
    <w:next w:val="Normal"/>
    <w:qFormat/>
    <w:pPr>
      <w:numPr>
        <w:numId w:val="7"/>
      </w:numPr>
      <w:tabs>
        <w:tab w:val="left" w:pos="22"/>
      </w:tabs>
      <w:spacing w:after="240"/>
      <w:jc w:val="both"/>
    </w:pPr>
    <w:rPr>
      <w:color w:val="000000"/>
      <w:sz w:val="24"/>
      <w:lang w:val="fr-FR" w:eastAsia="fr-FR"/>
    </w:rPr>
  </w:style>
  <w:style w:type="paragraph" w:customStyle="1" w:styleId="ListLegal2">
    <w:name w:val="List Legal 2"/>
    <w:basedOn w:val="Normal"/>
    <w:next w:val="Normal"/>
    <w:qFormat/>
    <w:pPr>
      <w:numPr>
        <w:ilvl w:val="1"/>
        <w:numId w:val="7"/>
      </w:numPr>
      <w:spacing w:after="240"/>
      <w:jc w:val="both"/>
    </w:pPr>
    <w:rPr>
      <w:color w:val="000000"/>
      <w:sz w:val="24"/>
      <w:lang w:val="fr-FR" w:eastAsia="fr-FR"/>
    </w:rPr>
  </w:style>
  <w:style w:type="paragraph" w:customStyle="1" w:styleId="ListLegal3">
    <w:name w:val="List Legal 3"/>
    <w:basedOn w:val="Normal"/>
    <w:next w:val="Normal"/>
    <w:qFormat/>
    <w:pPr>
      <w:numPr>
        <w:ilvl w:val="2"/>
        <w:numId w:val="7"/>
      </w:numPr>
      <w:spacing w:after="240"/>
      <w:jc w:val="both"/>
    </w:pPr>
    <w:rPr>
      <w:color w:val="000000"/>
      <w:sz w:val="24"/>
      <w:lang w:val="fr-FR" w:eastAsia="fr-FR"/>
    </w:rPr>
  </w:style>
  <w:style w:type="paragraph" w:customStyle="1" w:styleId="Standard">
    <w:name w:val="Standard"/>
    <w:qFormat/>
    <w:rPr>
      <w:rFonts w:cs="Times New Roman"/>
      <w:sz w:val="20"/>
      <w:szCs w:val="20"/>
      <w:lang w:val="fr-FR" w:eastAsia="fr-FR"/>
      <w14:ligatures w14:val="none"/>
    </w:rPr>
  </w:style>
  <w:style w:type="paragraph" w:styleId="Title">
    <w:name w:val="Title"/>
    <w:basedOn w:val="Normal"/>
    <w:next w:val="Normal"/>
    <w:link w:val="TitleChar"/>
    <w:qFormat/>
    <w:pPr>
      <w:spacing w:after="80"/>
      <w:contextualSpacing/>
    </w:pPr>
    <w:rPr>
      <w:rFonts w:cstheme="majorBidi"/>
      <w:spacing w:val="-10"/>
      <w:sz w:val="56"/>
      <w:szCs w:val="56"/>
      <w:lang w:val="fr-FR"/>
    </w:rPr>
  </w:style>
  <w:style w:type="paragraph" w:styleId="FootnoteText">
    <w:name w:val="footnote text"/>
    <w:basedOn w:val="Normal"/>
    <w:link w:val="FootnoteTextChar"/>
    <w:uiPriority w:val="99"/>
    <w:semiHidden/>
    <w:unhideWhenUsed/>
  </w:style>
  <w:style w:type="paragraph" w:styleId="BlockText">
    <w:name w:val="Block Text"/>
    <w:basedOn w:val="Normal"/>
    <w:qFormat/>
    <w:pPr>
      <w:tabs>
        <w:tab w:val="left" w:pos="1134"/>
        <w:tab w:val="left" w:pos="2210"/>
        <w:tab w:val="decimal" w:pos="7087"/>
        <w:tab w:val="left" w:pos="9356"/>
      </w:tabs>
      <w:ind w:left="360" w:right="1468"/>
    </w:pPr>
    <w:rPr>
      <w:sz w:val="24"/>
      <w:lang w:val="en-GB"/>
    </w:rPr>
  </w:style>
  <w:style w:type="paragraph" w:customStyle="1" w:styleId="Contenudetableau">
    <w:name w:val="Contenu de tableau"/>
    <w:basedOn w:val="Normal"/>
    <w:qFormat/>
    <w:pPr>
      <w:widowControl w:val="0"/>
      <w:suppressLineNumbers/>
    </w:pPr>
  </w:style>
  <w:style w:type="paragraph" w:customStyle="1" w:styleId="Titredetableau">
    <w:name w:val="Titre de tableau"/>
    <w:basedOn w:val="Contenudetableau"/>
    <w:qFormat/>
    <w:pPr>
      <w:jc w:val="center"/>
    </w:pPr>
    <w:rPr>
      <w:b/>
      <w:bCs/>
    </w:rPr>
  </w:style>
  <w:style w:type="paragraph" w:customStyle="1" w:styleId="Commentaire">
    <w:name w:val="Commentaire"/>
    <w:basedOn w:val="Normal"/>
    <w:qFormat/>
    <w:pPr>
      <w:spacing w:before="56"/>
      <w:ind w:left="57" w:right="57"/>
    </w:pPr>
  </w:style>
  <w:style w:type="paragraph" w:customStyle="1" w:styleId="Texteprformat">
    <w:name w:val="Texte préformaté"/>
    <w:basedOn w:val="Normal"/>
    <w:qFormat/>
  </w:style>
  <w:style w:type="paragraph" w:customStyle="1" w:styleId="Lignehorizontale">
    <w:name w:val="Ligne horizontale"/>
    <w:basedOn w:val="Normal"/>
    <w:next w:val="BodyText"/>
    <w:qFormat/>
    <w:pPr>
      <w:suppressLineNumbers/>
      <w:pBdr>
        <w:bottom w:val="single" w:sz="2" w:space="0" w:color="808080"/>
      </w:pBdr>
      <w:spacing w:after="283"/>
    </w:pPr>
    <w:rPr>
      <w:sz w:val="12"/>
      <w:szCs w:val="12"/>
    </w:rPr>
  </w:style>
  <w:style w:type="numbering" w:customStyle="1" w:styleId="Pasdeliste">
    <w:name w:val="Pas de liste"/>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Times New Roman"/>
      </a:majorFont>
      <a:minorFont>
        <a:latin typeface="Times New Roman"/>
        <a:ea typeface="Times New Roman"/>
        <a:cs typeface="Times New Roma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2280AAF0875C40BD699E2BC0F66AE7" ma:contentTypeVersion="17" ma:contentTypeDescription="Crée un document." ma:contentTypeScope="" ma:versionID="9af2e531bd61d4babb080d2ca5f81ca3">
  <xsd:schema xmlns:xsd="http://www.w3.org/2001/XMLSchema" xmlns:xs="http://www.w3.org/2001/XMLSchema" xmlns:p="http://schemas.microsoft.com/office/2006/metadata/properties" xmlns:ns2="bcc56be9-22bf-406c-80c8-0d49502edcd2" xmlns:ns3="b8d2122f-ed3d-4a0e-a9c9-58bf4023aeec" targetNamespace="http://schemas.microsoft.com/office/2006/metadata/properties" ma:root="true" ma:fieldsID="4fc12ffe89fa5720f47d1235dd4f1a1f" ns2:_="" ns3:_="">
    <xsd:import namespace="bcc56be9-22bf-406c-80c8-0d49502edcd2"/>
    <xsd:import namespace="b8d2122f-ed3d-4a0e-a9c9-58bf4023aee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Location"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56be9-22bf-406c-80c8-0d49502ed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82ad87f3-1fd9-4221-823b-20ae14dc72de"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d2122f-ed3d-4a0e-a9c9-58bf4023aee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1c58175-f943-419a-91af-da66d49d5691}" ma:internalName="TaxCatchAll" ma:showField="CatchAllData" ma:web="b8d2122f-ed3d-4a0e-a9c9-58bf4023aee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This value indicates the number of saves or revisions. The application is responsible for updating this value after each revision.</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8d2122f-ed3d-4a0e-a9c9-58bf4023aeec" xsi:nil="true"/>
    <lcf76f155ced4ddcb4097134ff3c332f xmlns="bcc56be9-22bf-406c-80c8-0d49502edcd2">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17D27-5739-493E-9A1F-74D10C1BF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56be9-22bf-406c-80c8-0d49502edcd2"/>
    <ds:schemaRef ds:uri="b8d2122f-ed3d-4a0e-a9c9-58bf4023ae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E69716-6D3A-4821-8A69-6ABBE8F3902B}">
  <ds:schemaRefs>
    <ds:schemaRef ds:uri="http://schemas.microsoft.com/office/2006/metadata/properties"/>
    <ds:schemaRef ds:uri="http://schemas.microsoft.com/office/infopath/2007/PartnerControls"/>
    <ds:schemaRef ds:uri="b8d2122f-ed3d-4a0e-a9c9-58bf4023aeec"/>
    <ds:schemaRef ds:uri="bcc56be9-22bf-406c-80c8-0d49502edcd2"/>
  </ds:schemaRefs>
</ds:datastoreItem>
</file>

<file path=customXml/itemProps3.xml><?xml version="1.0" encoding="utf-8"?>
<ds:datastoreItem xmlns:ds="http://schemas.openxmlformats.org/officeDocument/2006/customXml" ds:itemID="{27B8E79D-BF5D-4B72-8BFD-B9656A15A74E}">
  <ds:schemaRefs>
    <ds:schemaRef ds:uri="http://schemas.microsoft.com/sharepoint/v3/contenttype/forms"/>
  </ds:schemaRefs>
</ds:datastoreItem>
</file>

<file path=customXml/itemProps4.xml><?xml version="1.0" encoding="utf-8"?>
<ds:datastoreItem xmlns:ds="http://schemas.openxmlformats.org/officeDocument/2006/customXml" ds:itemID="{26604312-9E1A-4A32-9634-3373849C1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35</Pages>
  <Words>18753</Words>
  <Characters>106895</Characters>
  <Application>Microsoft Office Word</Application>
  <DocSecurity>0</DocSecurity>
  <Lines>890</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 Muller</dc:creator>
  <dc:description/>
  <cp:lastModifiedBy>Angelo Tedesco</cp:lastModifiedBy>
  <cp:revision>4</cp:revision>
  <dcterms:created xsi:type="dcterms:W3CDTF">2026-08-20T16:37:00Z</dcterms:created>
  <dcterms:modified xsi:type="dcterms:W3CDTF">2026-09-10T18:46:00Z</dcterms:modified>
  <dc:language>fr-BE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0x0101008D2280AAF0875C40BD699E2BC0F66AE7</vt:lpwstr>
  </property>
</Properties>
</file>